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000000"/>
        </w:tblBorders>
        <w:tblLook w:val="0000" w:firstRow="0" w:lastRow="0" w:firstColumn="0" w:lastColumn="0" w:noHBand="0" w:noVBand="0"/>
      </w:tblPr>
      <w:tblGrid>
        <w:gridCol w:w="9468"/>
      </w:tblGrid>
      <w:tr w:rsidR="00D9222C">
        <w:trPr>
          <w:cantSplit/>
          <w:trHeight w:hRule="exact" w:val="794"/>
        </w:trPr>
        <w:tc>
          <w:tcPr>
            <w:tcW w:w="9468" w:type="dxa"/>
          </w:tcPr>
          <w:p w:rsidR="00D9222C" w:rsidRDefault="005051D6">
            <w:pPr>
              <w:pStyle w:val="Footer"/>
              <w:tabs>
                <w:tab w:val="clear" w:pos="4153"/>
                <w:tab w:val="clear" w:pos="8306"/>
              </w:tabs>
              <w:spacing w:before="120" w:after="120"/>
              <w:ind w:right="-108"/>
              <w:rPr>
                <w:color w:val="000000"/>
                <w:sz w:val="48"/>
              </w:rPr>
            </w:pPr>
            <w:bookmarkStart w:id="0" w:name="_GoBack"/>
            <w:bookmarkEnd w:id="0"/>
            <w:r>
              <w:rPr>
                <w:noProof/>
                <w:color w:val="000000"/>
                <w:sz w:val="48"/>
                <w:lang w:eastAsia="en-GB"/>
              </w:rPr>
              <w:drawing>
                <wp:inline distT="0" distB="0" distL="0" distR="0">
                  <wp:extent cx="1412875" cy="285115"/>
                  <wp:effectExtent l="0" t="0" r="0" b="635"/>
                  <wp:docPr id="1" name="Picture 1" descr="Min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ut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2875" cy="285115"/>
                          </a:xfrm>
                          <a:prstGeom prst="rect">
                            <a:avLst/>
                          </a:prstGeom>
                          <a:noFill/>
                          <a:ln>
                            <a:noFill/>
                          </a:ln>
                        </pic:spPr>
                      </pic:pic>
                    </a:graphicData>
                  </a:graphic>
                </wp:inline>
              </w:drawing>
            </w:r>
          </w:p>
        </w:tc>
      </w:tr>
    </w:tbl>
    <w:p w:rsidR="00D9222C" w:rsidRDefault="00D9222C">
      <w:pPr>
        <w:pStyle w:val="Heading3"/>
        <w:rPr>
          <w:i w:val="0"/>
          <w:iCs w:val="0"/>
          <w:color w:val="000000"/>
          <w:sz w:val="40"/>
        </w:rPr>
      </w:pPr>
      <w:r>
        <w:rPr>
          <w:i w:val="0"/>
          <w:iCs w:val="0"/>
          <w:color w:val="000000"/>
          <w:sz w:val="40"/>
        </w:rPr>
        <w:t xml:space="preserve"> </w:t>
      </w:r>
    </w:p>
    <w:p w:rsidR="00D9222C" w:rsidRDefault="00B67239">
      <w:pPr>
        <w:pStyle w:val="Heading3"/>
        <w:rPr>
          <w:b w:val="0"/>
          <w:i w:val="0"/>
          <w:iCs w:val="0"/>
          <w:color w:val="000000"/>
          <w:sz w:val="32"/>
        </w:rPr>
      </w:pPr>
      <w:r>
        <w:rPr>
          <w:i w:val="0"/>
          <w:iCs w:val="0"/>
          <w:color w:val="000000"/>
          <w:sz w:val="32"/>
        </w:rPr>
        <w:t xml:space="preserve">Saddleworth Parish Council Neighbourhood Plan </w:t>
      </w:r>
      <w:r>
        <w:rPr>
          <w:i w:val="0"/>
          <w:iCs w:val="0"/>
          <w:color w:val="000000"/>
          <w:sz w:val="32"/>
        </w:rPr>
        <w:br/>
      </w:r>
    </w:p>
    <w:p w:rsidR="00D9222C" w:rsidRDefault="00D9222C">
      <w:pPr>
        <w:rPr>
          <w:lang w:eastAsia="ja-JP"/>
        </w:rPr>
      </w:pPr>
    </w:p>
    <w:p w:rsidR="00B67239" w:rsidRDefault="00AB3237">
      <w:pPr>
        <w:spacing w:line="264" w:lineRule="auto"/>
        <w:rPr>
          <w:b/>
          <w:bCs/>
          <w:color w:val="000000"/>
          <w:sz w:val="24"/>
          <w:szCs w:val="28"/>
        </w:rPr>
      </w:pPr>
      <w:r>
        <w:rPr>
          <w:b/>
          <w:bCs/>
          <w:color w:val="000000"/>
          <w:sz w:val="24"/>
          <w:szCs w:val="28"/>
        </w:rPr>
        <w:t xml:space="preserve">1 December </w:t>
      </w:r>
      <w:r w:rsidR="00B67239">
        <w:rPr>
          <w:b/>
          <w:bCs/>
          <w:color w:val="000000"/>
          <w:sz w:val="24"/>
          <w:szCs w:val="28"/>
        </w:rPr>
        <w:t>201</w:t>
      </w:r>
      <w:r w:rsidR="005051D6">
        <w:rPr>
          <w:b/>
          <w:bCs/>
          <w:color w:val="000000"/>
          <w:sz w:val="24"/>
          <w:szCs w:val="28"/>
        </w:rPr>
        <w:t>6</w:t>
      </w:r>
    </w:p>
    <w:p w:rsidR="00D9222C" w:rsidRDefault="00AC6E28">
      <w:pPr>
        <w:pStyle w:val="Heading5"/>
        <w:spacing w:line="264" w:lineRule="auto"/>
        <w:rPr>
          <w:b w:val="0"/>
          <w:bCs w:val="0"/>
          <w:color w:val="000000"/>
          <w:sz w:val="24"/>
        </w:rPr>
      </w:pPr>
      <w:r>
        <w:rPr>
          <w:i w:val="0"/>
          <w:iCs w:val="0"/>
          <w:color w:val="000000"/>
          <w:sz w:val="24"/>
        </w:rPr>
        <w:t xml:space="preserve">Saddleworth </w:t>
      </w:r>
      <w:r w:rsidR="005051D6">
        <w:rPr>
          <w:i w:val="0"/>
          <w:iCs w:val="0"/>
          <w:color w:val="000000"/>
          <w:sz w:val="24"/>
        </w:rPr>
        <w:t xml:space="preserve">Parish Council </w:t>
      </w:r>
      <w:r w:rsidR="00D9222C">
        <w:rPr>
          <w:i w:val="0"/>
          <w:iCs w:val="0"/>
          <w:color w:val="000000"/>
          <w:sz w:val="24"/>
        </w:rPr>
        <w:br/>
      </w:r>
    </w:p>
    <w:p w:rsidR="00D9222C" w:rsidRDefault="00D9222C">
      <w:pPr>
        <w:pStyle w:val="Header"/>
        <w:tabs>
          <w:tab w:val="left" w:pos="851"/>
        </w:tabs>
        <w:spacing w:line="264" w:lineRule="auto"/>
        <w:rPr>
          <w:szCs w:val="32"/>
          <w:lang w:val="en-US"/>
        </w:rPr>
      </w:pPr>
    </w:p>
    <w:tbl>
      <w:tblPr>
        <w:tblW w:w="0" w:type="auto"/>
        <w:tblLook w:val="0000" w:firstRow="0" w:lastRow="0" w:firstColumn="0" w:lastColumn="0" w:noHBand="0" w:noVBand="0"/>
      </w:tblPr>
      <w:tblGrid>
        <w:gridCol w:w="1809"/>
        <w:gridCol w:w="3686"/>
        <w:gridCol w:w="3973"/>
      </w:tblGrid>
      <w:tr w:rsidR="00D9222C">
        <w:tc>
          <w:tcPr>
            <w:tcW w:w="1809" w:type="dxa"/>
          </w:tcPr>
          <w:p w:rsidR="00D9222C" w:rsidRDefault="00D9222C">
            <w:pPr>
              <w:rPr>
                <w:b/>
                <w:bCs/>
                <w:color w:val="000000"/>
              </w:rPr>
            </w:pPr>
            <w:r>
              <w:rPr>
                <w:b/>
                <w:bCs/>
                <w:color w:val="000000"/>
              </w:rPr>
              <w:t xml:space="preserve">Present: </w:t>
            </w:r>
          </w:p>
        </w:tc>
        <w:tc>
          <w:tcPr>
            <w:tcW w:w="3686" w:type="dxa"/>
          </w:tcPr>
          <w:p w:rsidR="00D9222C" w:rsidRDefault="005051D6" w:rsidP="005051D6">
            <w:pPr>
              <w:rPr>
                <w:color w:val="000000"/>
              </w:rPr>
            </w:pPr>
            <w:r>
              <w:rPr>
                <w:color w:val="000000"/>
              </w:rPr>
              <w:t xml:space="preserve">Pam Bailey </w:t>
            </w:r>
          </w:p>
        </w:tc>
        <w:tc>
          <w:tcPr>
            <w:tcW w:w="3973" w:type="dxa"/>
          </w:tcPr>
          <w:p w:rsidR="00D9222C" w:rsidRDefault="00B67239">
            <w:pPr>
              <w:rPr>
                <w:color w:val="000000"/>
              </w:rPr>
            </w:pPr>
            <w:r>
              <w:rPr>
                <w:color w:val="000000"/>
              </w:rPr>
              <w:t>Saddleworth Parish Council</w:t>
            </w:r>
          </w:p>
        </w:tc>
      </w:tr>
      <w:tr w:rsidR="00D9222C">
        <w:tc>
          <w:tcPr>
            <w:tcW w:w="1809" w:type="dxa"/>
          </w:tcPr>
          <w:p w:rsidR="00D9222C" w:rsidRDefault="00D9222C">
            <w:pPr>
              <w:rPr>
                <w:color w:val="000000"/>
              </w:rPr>
            </w:pPr>
          </w:p>
        </w:tc>
        <w:tc>
          <w:tcPr>
            <w:tcW w:w="3686" w:type="dxa"/>
          </w:tcPr>
          <w:p w:rsidR="00D9222C" w:rsidRDefault="005051D6" w:rsidP="005051D6">
            <w:pPr>
              <w:rPr>
                <w:color w:val="000000"/>
              </w:rPr>
            </w:pPr>
            <w:r>
              <w:rPr>
                <w:color w:val="000000"/>
              </w:rPr>
              <w:t xml:space="preserve">Cllr Beeley </w:t>
            </w:r>
          </w:p>
          <w:p w:rsidR="00D45FBB" w:rsidRDefault="00A80A90" w:rsidP="005051D6">
            <w:pPr>
              <w:rPr>
                <w:color w:val="000000"/>
              </w:rPr>
            </w:pPr>
            <w:r>
              <w:rPr>
                <w:color w:val="000000"/>
              </w:rPr>
              <w:t xml:space="preserve">Cllr </w:t>
            </w:r>
            <w:r w:rsidR="00D45FBB">
              <w:rPr>
                <w:color w:val="000000"/>
              </w:rPr>
              <w:t>McCann</w:t>
            </w:r>
          </w:p>
          <w:p w:rsidR="00A80A90" w:rsidRDefault="00A80A90" w:rsidP="005051D6">
            <w:pPr>
              <w:rPr>
                <w:color w:val="000000"/>
              </w:rPr>
            </w:pPr>
            <w:r>
              <w:rPr>
                <w:color w:val="000000"/>
              </w:rPr>
              <w:t>Rob Knotts</w:t>
            </w:r>
          </w:p>
          <w:p w:rsidR="005051D6" w:rsidRDefault="005051D6" w:rsidP="005051D6">
            <w:pPr>
              <w:rPr>
                <w:color w:val="000000"/>
              </w:rPr>
            </w:pPr>
            <w:r>
              <w:rPr>
                <w:color w:val="000000"/>
              </w:rPr>
              <w:t xml:space="preserve">Geoff Willerton </w:t>
            </w:r>
          </w:p>
          <w:p w:rsidR="000A5BE3" w:rsidRDefault="005051D6" w:rsidP="005051D6">
            <w:pPr>
              <w:rPr>
                <w:color w:val="000000"/>
              </w:rPr>
            </w:pPr>
            <w:r>
              <w:rPr>
                <w:color w:val="000000"/>
              </w:rPr>
              <w:t>Andrew Fletcher</w:t>
            </w:r>
          </w:p>
          <w:p w:rsidR="005051D6" w:rsidRDefault="000A5BE3" w:rsidP="005051D6">
            <w:pPr>
              <w:rPr>
                <w:color w:val="000000"/>
              </w:rPr>
            </w:pPr>
            <w:r>
              <w:rPr>
                <w:color w:val="000000"/>
              </w:rPr>
              <w:t>Derek Richardson</w:t>
            </w:r>
            <w:r w:rsidR="005051D6">
              <w:rPr>
                <w:color w:val="000000"/>
              </w:rPr>
              <w:t xml:space="preserve"> </w:t>
            </w:r>
          </w:p>
        </w:tc>
        <w:tc>
          <w:tcPr>
            <w:tcW w:w="3973" w:type="dxa"/>
          </w:tcPr>
          <w:p w:rsidR="00D9222C" w:rsidRDefault="00B67239">
            <w:pPr>
              <w:rPr>
                <w:color w:val="000000"/>
              </w:rPr>
            </w:pPr>
            <w:r>
              <w:rPr>
                <w:color w:val="000000"/>
              </w:rPr>
              <w:t>Saddleworth Parish Council</w:t>
            </w:r>
          </w:p>
          <w:p w:rsidR="00D45FBB" w:rsidRDefault="00A80A90">
            <w:pPr>
              <w:rPr>
                <w:color w:val="000000"/>
              </w:rPr>
            </w:pPr>
            <w:r>
              <w:rPr>
                <w:color w:val="000000"/>
              </w:rPr>
              <w:t>Saddleworth Parish Council</w:t>
            </w:r>
          </w:p>
          <w:p w:rsidR="00A80A90" w:rsidRDefault="00A80A90">
            <w:pPr>
              <w:rPr>
                <w:color w:val="000000"/>
              </w:rPr>
            </w:pPr>
            <w:r>
              <w:rPr>
                <w:color w:val="000000"/>
              </w:rPr>
              <w:t>Saddleworth Parish Council</w:t>
            </w:r>
          </w:p>
          <w:p w:rsidR="009C6769" w:rsidRDefault="009C6769">
            <w:pPr>
              <w:rPr>
                <w:color w:val="000000"/>
              </w:rPr>
            </w:pPr>
            <w:r>
              <w:rPr>
                <w:color w:val="000000"/>
              </w:rPr>
              <w:t xml:space="preserve">Representing Saddleworth Parish Council </w:t>
            </w:r>
          </w:p>
          <w:p w:rsidR="000A5BE3" w:rsidRDefault="000A5BE3">
            <w:pPr>
              <w:rPr>
                <w:color w:val="000000"/>
              </w:rPr>
            </w:pPr>
            <w:r>
              <w:rPr>
                <w:color w:val="000000"/>
              </w:rPr>
              <w:t>Greater Manchester Ecology Unit</w:t>
            </w:r>
          </w:p>
        </w:tc>
      </w:tr>
      <w:tr w:rsidR="00D9222C" w:rsidTr="005051D6">
        <w:trPr>
          <w:trHeight w:val="95"/>
        </w:trPr>
        <w:tc>
          <w:tcPr>
            <w:tcW w:w="1809" w:type="dxa"/>
          </w:tcPr>
          <w:p w:rsidR="00D9222C" w:rsidRDefault="00D9222C">
            <w:pPr>
              <w:rPr>
                <w:color w:val="000000"/>
              </w:rPr>
            </w:pPr>
          </w:p>
        </w:tc>
        <w:tc>
          <w:tcPr>
            <w:tcW w:w="3686" w:type="dxa"/>
          </w:tcPr>
          <w:p w:rsidR="00D9222C" w:rsidRDefault="00D9222C">
            <w:pPr>
              <w:rPr>
                <w:color w:val="000000"/>
              </w:rPr>
            </w:pPr>
          </w:p>
        </w:tc>
        <w:tc>
          <w:tcPr>
            <w:tcW w:w="3973" w:type="dxa"/>
          </w:tcPr>
          <w:p w:rsidR="00D9222C" w:rsidRDefault="00D9222C">
            <w:pPr>
              <w:rPr>
                <w:color w:val="000000"/>
              </w:rPr>
            </w:pPr>
          </w:p>
        </w:tc>
      </w:tr>
      <w:tr w:rsidR="00D9222C" w:rsidTr="005051D6">
        <w:trPr>
          <w:trHeight w:val="95"/>
        </w:trPr>
        <w:tc>
          <w:tcPr>
            <w:tcW w:w="1809" w:type="dxa"/>
          </w:tcPr>
          <w:p w:rsidR="00D9222C" w:rsidRDefault="00D9222C">
            <w:pPr>
              <w:rPr>
                <w:color w:val="000000"/>
              </w:rPr>
            </w:pPr>
          </w:p>
        </w:tc>
        <w:tc>
          <w:tcPr>
            <w:tcW w:w="3686" w:type="dxa"/>
          </w:tcPr>
          <w:p w:rsidR="005051D6" w:rsidRDefault="00AB3237">
            <w:pPr>
              <w:rPr>
                <w:color w:val="000000"/>
              </w:rPr>
            </w:pPr>
            <w:r>
              <w:rPr>
                <w:color w:val="000000"/>
              </w:rPr>
              <w:t xml:space="preserve">Georgina Brownridge </w:t>
            </w:r>
          </w:p>
          <w:p w:rsidR="00D9222C" w:rsidRDefault="00B56DC2" w:rsidP="00B56DC2">
            <w:pPr>
              <w:rPr>
                <w:color w:val="000000"/>
              </w:rPr>
            </w:pPr>
            <w:r>
              <w:rPr>
                <w:color w:val="000000"/>
              </w:rPr>
              <w:t>Christine Whittle</w:t>
            </w:r>
          </w:p>
        </w:tc>
        <w:tc>
          <w:tcPr>
            <w:tcW w:w="3973" w:type="dxa"/>
          </w:tcPr>
          <w:p w:rsidR="00B56DC2" w:rsidRDefault="00B56DC2" w:rsidP="00B56DC2">
            <w:pPr>
              <w:rPr>
                <w:color w:val="000000"/>
              </w:rPr>
            </w:pPr>
            <w:r>
              <w:rPr>
                <w:color w:val="000000"/>
              </w:rPr>
              <w:t>Oldham Council</w:t>
            </w:r>
          </w:p>
          <w:p w:rsidR="00D9222C" w:rsidRDefault="005051D6" w:rsidP="00B56DC2">
            <w:pPr>
              <w:rPr>
                <w:color w:val="000000"/>
              </w:rPr>
            </w:pPr>
            <w:r>
              <w:rPr>
                <w:color w:val="000000"/>
              </w:rPr>
              <w:t>Oldham Council</w:t>
            </w:r>
          </w:p>
        </w:tc>
      </w:tr>
      <w:tr w:rsidR="00D9222C">
        <w:tc>
          <w:tcPr>
            <w:tcW w:w="1809" w:type="dxa"/>
          </w:tcPr>
          <w:p w:rsidR="00D9222C" w:rsidRDefault="00D9222C">
            <w:pPr>
              <w:rPr>
                <w:color w:val="000000"/>
              </w:rPr>
            </w:pPr>
          </w:p>
        </w:tc>
        <w:tc>
          <w:tcPr>
            <w:tcW w:w="3686" w:type="dxa"/>
          </w:tcPr>
          <w:p w:rsidR="005051D6" w:rsidRDefault="005051D6" w:rsidP="005051D6">
            <w:pPr>
              <w:rPr>
                <w:color w:val="000000"/>
              </w:rPr>
            </w:pPr>
          </w:p>
        </w:tc>
        <w:tc>
          <w:tcPr>
            <w:tcW w:w="3973" w:type="dxa"/>
          </w:tcPr>
          <w:p w:rsidR="005051D6" w:rsidRDefault="005051D6" w:rsidP="005051D6">
            <w:pPr>
              <w:rPr>
                <w:color w:val="000000"/>
              </w:rPr>
            </w:pPr>
          </w:p>
        </w:tc>
      </w:tr>
      <w:tr w:rsidR="00D9222C">
        <w:tc>
          <w:tcPr>
            <w:tcW w:w="1809" w:type="dxa"/>
          </w:tcPr>
          <w:p w:rsidR="00D9222C" w:rsidRDefault="00D9222C">
            <w:pPr>
              <w:rPr>
                <w:color w:val="000000"/>
              </w:rPr>
            </w:pPr>
          </w:p>
        </w:tc>
        <w:tc>
          <w:tcPr>
            <w:tcW w:w="3686" w:type="dxa"/>
          </w:tcPr>
          <w:p w:rsidR="00D9222C" w:rsidRDefault="00D9222C">
            <w:pPr>
              <w:rPr>
                <w:color w:val="000000"/>
              </w:rPr>
            </w:pPr>
          </w:p>
        </w:tc>
        <w:tc>
          <w:tcPr>
            <w:tcW w:w="3973" w:type="dxa"/>
          </w:tcPr>
          <w:p w:rsidR="00D9222C" w:rsidRDefault="00D9222C">
            <w:pPr>
              <w:rPr>
                <w:color w:val="000000"/>
              </w:rPr>
            </w:pPr>
          </w:p>
        </w:tc>
      </w:tr>
    </w:tbl>
    <w:p w:rsidR="00D9222C" w:rsidRDefault="00D9222C">
      <w:pPr>
        <w:rPr>
          <w:color w:val="000000"/>
        </w:rPr>
      </w:pPr>
    </w:p>
    <w:tbl>
      <w:tblPr>
        <w:tblW w:w="0" w:type="auto"/>
        <w:tblLook w:val="0000" w:firstRow="0" w:lastRow="0" w:firstColumn="0" w:lastColumn="0" w:noHBand="0" w:noVBand="0"/>
      </w:tblPr>
      <w:tblGrid>
        <w:gridCol w:w="676"/>
        <w:gridCol w:w="8949"/>
      </w:tblGrid>
      <w:tr w:rsidR="00D9222C" w:rsidTr="001D0AB0">
        <w:trPr>
          <w:cantSplit/>
          <w:trHeight w:val="279"/>
        </w:trPr>
        <w:tc>
          <w:tcPr>
            <w:tcW w:w="676" w:type="dxa"/>
          </w:tcPr>
          <w:p w:rsidR="00D9222C" w:rsidRDefault="00D9222C">
            <w:pPr>
              <w:pStyle w:val="Header"/>
              <w:tabs>
                <w:tab w:val="left" w:pos="851"/>
              </w:tabs>
              <w:spacing w:line="264" w:lineRule="auto"/>
              <w:rPr>
                <w:b/>
                <w:color w:val="000000"/>
                <w:sz w:val="22"/>
              </w:rPr>
            </w:pPr>
            <w:r w:rsidRPr="001B7830">
              <w:rPr>
                <w:b/>
                <w:color w:val="000000"/>
                <w:sz w:val="22"/>
              </w:rPr>
              <w:t>1</w:t>
            </w:r>
          </w:p>
          <w:p w:rsidR="00297DC0" w:rsidRDefault="00297DC0">
            <w:pPr>
              <w:pStyle w:val="Header"/>
              <w:tabs>
                <w:tab w:val="left" w:pos="851"/>
              </w:tabs>
              <w:spacing w:line="264" w:lineRule="auto"/>
              <w:rPr>
                <w:b/>
                <w:color w:val="000000"/>
                <w:sz w:val="22"/>
              </w:rPr>
            </w:pPr>
          </w:p>
          <w:p w:rsidR="00297DC0" w:rsidRDefault="00297DC0">
            <w:pPr>
              <w:pStyle w:val="Header"/>
              <w:tabs>
                <w:tab w:val="left" w:pos="851"/>
              </w:tabs>
              <w:spacing w:line="264" w:lineRule="auto"/>
              <w:rPr>
                <w:b/>
                <w:color w:val="000000"/>
                <w:sz w:val="22"/>
              </w:rPr>
            </w:pPr>
          </w:p>
          <w:p w:rsidR="00297DC0" w:rsidRDefault="00297DC0">
            <w:pPr>
              <w:pStyle w:val="Header"/>
              <w:tabs>
                <w:tab w:val="left" w:pos="851"/>
              </w:tabs>
              <w:spacing w:line="264" w:lineRule="auto"/>
              <w:rPr>
                <w:b/>
                <w:color w:val="000000"/>
                <w:sz w:val="22"/>
              </w:rPr>
            </w:pPr>
          </w:p>
          <w:p w:rsidR="00297DC0" w:rsidRDefault="00297DC0">
            <w:pPr>
              <w:pStyle w:val="Header"/>
              <w:tabs>
                <w:tab w:val="left" w:pos="851"/>
              </w:tabs>
              <w:spacing w:line="264" w:lineRule="auto"/>
              <w:rPr>
                <w:b/>
                <w:color w:val="000000"/>
                <w:sz w:val="22"/>
              </w:rPr>
            </w:pPr>
          </w:p>
          <w:p w:rsidR="00297DC0" w:rsidRDefault="00297DC0">
            <w:pPr>
              <w:pStyle w:val="Header"/>
              <w:tabs>
                <w:tab w:val="left" w:pos="851"/>
              </w:tabs>
              <w:spacing w:line="264" w:lineRule="auto"/>
              <w:rPr>
                <w:b/>
                <w:color w:val="000000"/>
                <w:sz w:val="22"/>
              </w:rPr>
            </w:pPr>
          </w:p>
          <w:p w:rsidR="000A5BE3" w:rsidRDefault="00297DC0">
            <w:pPr>
              <w:pStyle w:val="Header"/>
              <w:tabs>
                <w:tab w:val="left" w:pos="851"/>
              </w:tabs>
              <w:spacing w:line="264" w:lineRule="auto"/>
              <w:rPr>
                <w:b/>
                <w:color w:val="000000"/>
                <w:sz w:val="22"/>
              </w:rPr>
            </w:pPr>
            <w:r>
              <w:rPr>
                <w:b/>
                <w:color w:val="000000"/>
                <w:sz w:val="22"/>
              </w:rPr>
              <w:t>2</w:t>
            </w:r>
          </w:p>
          <w:p w:rsidR="000A5BE3" w:rsidRPr="001B7830" w:rsidRDefault="000A5BE3">
            <w:pPr>
              <w:pStyle w:val="Header"/>
              <w:tabs>
                <w:tab w:val="left" w:pos="851"/>
              </w:tabs>
              <w:spacing w:line="264" w:lineRule="auto"/>
              <w:rPr>
                <w:b/>
                <w:color w:val="000000"/>
                <w:sz w:val="22"/>
                <w:szCs w:val="32"/>
                <w:lang w:val="en-US"/>
              </w:rPr>
            </w:pPr>
          </w:p>
        </w:tc>
        <w:tc>
          <w:tcPr>
            <w:tcW w:w="8949" w:type="dxa"/>
          </w:tcPr>
          <w:p w:rsidR="00A80A90" w:rsidRDefault="00A80A90" w:rsidP="00CA5AE2">
            <w:pPr>
              <w:pStyle w:val="Header"/>
              <w:tabs>
                <w:tab w:val="left" w:pos="851"/>
              </w:tabs>
              <w:spacing w:line="264" w:lineRule="auto"/>
              <w:rPr>
                <w:b/>
                <w:bCs/>
                <w:color w:val="000000"/>
                <w:sz w:val="22"/>
              </w:rPr>
            </w:pPr>
            <w:r>
              <w:rPr>
                <w:b/>
                <w:bCs/>
                <w:color w:val="000000"/>
                <w:sz w:val="22"/>
              </w:rPr>
              <w:t xml:space="preserve">Minutes of last meeting </w:t>
            </w:r>
          </w:p>
          <w:p w:rsidR="00A80A90" w:rsidRDefault="00A80A90" w:rsidP="00CA5AE2">
            <w:pPr>
              <w:pStyle w:val="Header"/>
              <w:tabs>
                <w:tab w:val="left" w:pos="851"/>
              </w:tabs>
              <w:spacing w:line="264" w:lineRule="auto"/>
              <w:rPr>
                <w:b/>
                <w:bCs/>
                <w:color w:val="000000"/>
                <w:sz w:val="22"/>
              </w:rPr>
            </w:pPr>
          </w:p>
          <w:p w:rsidR="00A80A90" w:rsidRPr="00A80A90" w:rsidRDefault="00A80A90" w:rsidP="00A80A90">
            <w:pPr>
              <w:pStyle w:val="Header"/>
              <w:numPr>
                <w:ilvl w:val="0"/>
                <w:numId w:val="12"/>
              </w:numPr>
              <w:tabs>
                <w:tab w:val="left" w:pos="851"/>
              </w:tabs>
              <w:spacing w:line="264" w:lineRule="auto"/>
              <w:rPr>
                <w:bCs/>
                <w:color w:val="000000"/>
                <w:sz w:val="22"/>
              </w:rPr>
            </w:pPr>
            <w:r w:rsidRPr="00A80A90">
              <w:rPr>
                <w:bCs/>
                <w:color w:val="000000"/>
                <w:sz w:val="22"/>
              </w:rPr>
              <w:t xml:space="preserve">The minutes were agreed. </w:t>
            </w:r>
          </w:p>
          <w:p w:rsidR="00A80A90" w:rsidRPr="00A80A90" w:rsidRDefault="00A80A90" w:rsidP="00A80A90">
            <w:pPr>
              <w:pStyle w:val="Header"/>
              <w:numPr>
                <w:ilvl w:val="0"/>
                <w:numId w:val="12"/>
              </w:numPr>
              <w:tabs>
                <w:tab w:val="left" w:pos="851"/>
              </w:tabs>
              <w:spacing w:line="264" w:lineRule="auto"/>
              <w:rPr>
                <w:bCs/>
                <w:color w:val="000000"/>
                <w:sz w:val="22"/>
              </w:rPr>
            </w:pPr>
            <w:r w:rsidRPr="00A80A90">
              <w:rPr>
                <w:bCs/>
                <w:color w:val="000000"/>
                <w:sz w:val="22"/>
              </w:rPr>
              <w:t xml:space="preserve">Georgina confirmed the neighbourhood area was now designated and was in the process of being publicised. </w:t>
            </w:r>
          </w:p>
          <w:p w:rsidR="00A80A90" w:rsidRDefault="00A80A90" w:rsidP="00CA5AE2">
            <w:pPr>
              <w:pStyle w:val="Header"/>
              <w:tabs>
                <w:tab w:val="left" w:pos="851"/>
              </w:tabs>
              <w:spacing w:line="264" w:lineRule="auto"/>
              <w:rPr>
                <w:b/>
                <w:bCs/>
                <w:color w:val="000000"/>
                <w:sz w:val="22"/>
              </w:rPr>
            </w:pPr>
          </w:p>
          <w:p w:rsidR="00D9222C" w:rsidRDefault="00297DC0" w:rsidP="00CA5AE2">
            <w:pPr>
              <w:pStyle w:val="Header"/>
              <w:tabs>
                <w:tab w:val="left" w:pos="851"/>
              </w:tabs>
              <w:spacing w:line="264" w:lineRule="auto"/>
              <w:rPr>
                <w:b/>
                <w:bCs/>
                <w:color w:val="000000"/>
                <w:sz w:val="22"/>
              </w:rPr>
            </w:pPr>
            <w:r>
              <w:rPr>
                <w:b/>
                <w:bCs/>
                <w:color w:val="000000"/>
                <w:sz w:val="22"/>
              </w:rPr>
              <w:t xml:space="preserve">Draft Service Level </w:t>
            </w:r>
            <w:r w:rsidR="00986509">
              <w:rPr>
                <w:b/>
                <w:bCs/>
                <w:color w:val="000000"/>
                <w:sz w:val="22"/>
              </w:rPr>
              <w:t>Agreement (SLA)</w:t>
            </w:r>
          </w:p>
          <w:p w:rsidR="003A225E" w:rsidRDefault="003A225E" w:rsidP="003A225E">
            <w:pPr>
              <w:pStyle w:val="Header"/>
              <w:numPr>
                <w:ilvl w:val="0"/>
                <w:numId w:val="24"/>
              </w:numPr>
              <w:tabs>
                <w:tab w:val="left" w:pos="851"/>
              </w:tabs>
              <w:spacing w:line="264" w:lineRule="auto"/>
              <w:rPr>
                <w:bCs/>
                <w:color w:val="000000"/>
                <w:sz w:val="22"/>
                <w:szCs w:val="32"/>
                <w:lang w:val="en-US"/>
              </w:rPr>
            </w:pPr>
            <w:r w:rsidRPr="003A225E">
              <w:rPr>
                <w:bCs/>
                <w:color w:val="000000"/>
                <w:sz w:val="22"/>
                <w:szCs w:val="32"/>
                <w:lang w:val="en-US"/>
              </w:rPr>
              <w:t xml:space="preserve">Georgina drafted a SLA. The Peak District has confirmed they are happy with the SLA. </w:t>
            </w:r>
          </w:p>
          <w:p w:rsidR="003A225E" w:rsidRDefault="003A225E" w:rsidP="003A225E">
            <w:pPr>
              <w:pStyle w:val="Header"/>
              <w:numPr>
                <w:ilvl w:val="0"/>
                <w:numId w:val="24"/>
              </w:numPr>
              <w:tabs>
                <w:tab w:val="left" w:pos="851"/>
              </w:tabs>
              <w:spacing w:line="264" w:lineRule="auto"/>
              <w:rPr>
                <w:bCs/>
                <w:color w:val="000000"/>
                <w:sz w:val="22"/>
                <w:szCs w:val="32"/>
                <w:lang w:val="en-US"/>
              </w:rPr>
            </w:pPr>
            <w:r w:rsidRPr="003A225E">
              <w:rPr>
                <w:bCs/>
                <w:color w:val="000000"/>
                <w:sz w:val="22"/>
                <w:szCs w:val="32"/>
                <w:lang w:val="en-US"/>
              </w:rPr>
              <w:t xml:space="preserve">SPC confirmed that they are also satisfied with the SLA. </w:t>
            </w:r>
          </w:p>
          <w:p w:rsidR="003A225E" w:rsidRPr="003A225E" w:rsidRDefault="003A225E" w:rsidP="003A225E">
            <w:pPr>
              <w:pStyle w:val="Header"/>
              <w:numPr>
                <w:ilvl w:val="0"/>
                <w:numId w:val="24"/>
              </w:numPr>
              <w:tabs>
                <w:tab w:val="left" w:pos="851"/>
              </w:tabs>
              <w:spacing w:line="264" w:lineRule="auto"/>
              <w:rPr>
                <w:bCs/>
                <w:color w:val="000000"/>
                <w:sz w:val="22"/>
                <w:szCs w:val="32"/>
                <w:lang w:val="en-US"/>
              </w:rPr>
            </w:pPr>
            <w:r w:rsidRPr="003A225E">
              <w:rPr>
                <w:b/>
                <w:bCs/>
                <w:color w:val="000000"/>
                <w:sz w:val="22"/>
                <w:szCs w:val="32"/>
                <w:lang w:val="en-US"/>
              </w:rPr>
              <w:t>Action:</w:t>
            </w:r>
            <w:r w:rsidRPr="003A225E">
              <w:rPr>
                <w:bCs/>
                <w:color w:val="000000"/>
                <w:sz w:val="22"/>
                <w:szCs w:val="32"/>
                <w:lang w:val="en-US"/>
              </w:rPr>
              <w:t xml:space="preserve"> Georgina will arrange for the SLA to be signed by each body</w:t>
            </w:r>
            <w:r w:rsidRPr="003A225E">
              <w:rPr>
                <w:b/>
                <w:bCs/>
                <w:color w:val="000000"/>
                <w:sz w:val="22"/>
                <w:szCs w:val="32"/>
                <w:lang w:val="en-US"/>
              </w:rPr>
              <w:t xml:space="preserve">.  </w:t>
            </w:r>
          </w:p>
        </w:tc>
      </w:tr>
      <w:tr w:rsidR="00D9222C" w:rsidTr="001D0AB0">
        <w:trPr>
          <w:cantSplit/>
          <w:trHeight w:val="1965"/>
        </w:trPr>
        <w:tc>
          <w:tcPr>
            <w:tcW w:w="676" w:type="dxa"/>
          </w:tcPr>
          <w:p w:rsidR="000A5BE3" w:rsidRDefault="000A5BE3">
            <w:pPr>
              <w:pStyle w:val="Header"/>
              <w:tabs>
                <w:tab w:val="left" w:pos="851"/>
              </w:tabs>
              <w:spacing w:line="264" w:lineRule="auto"/>
              <w:rPr>
                <w:b/>
                <w:color w:val="000000"/>
                <w:sz w:val="22"/>
              </w:rPr>
            </w:pPr>
            <w:r w:rsidRPr="000A5BE3">
              <w:rPr>
                <w:b/>
                <w:color w:val="000000"/>
                <w:sz w:val="22"/>
              </w:rPr>
              <w:lastRenderedPageBreak/>
              <w:t>3</w:t>
            </w: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p>
          <w:p w:rsidR="00DA72EA" w:rsidRDefault="00DA72EA">
            <w:pPr>
              <w:pStyle w:val="Header"/>
              <w:tabs>
                <w:tab w:val="left" w:pos="851"/>
              </w:tabs>
              <w:spacing w:line="264" w:lineRule="auto"/>
              <w:rPr>
                <w:b/>
                <w:color w:val="000000"/>
                <w:sz w:val="22"/>
              </w:rPr>
            </w:pPr>
          </w:p>
          <w:p w:rsidR="003007B2" w:rsidRDefault="003007B2">
            <w:pPr>
              <w:pStyle w:val="Header"/>
              <w:tabs>
                <w:tab w:val="left" w:pos="851"/>
              </w:tabs>
              <w:spacing w:line="264" w:lineRule="auto"/>
              <w:rPr>
                <w:b/>
                <w:color w:val="000000"/>
                <w:sz w:val="22"/>
              </w:rPr>
            </w:pPr>
          </w:p>
          <w:p w:rsidR="003007B2" w:rsidRDefault="003007B2">
            <w:pPr>
              <w:pStyle w:val="Header"/>
              <w:tabs>
                <w:tab w:val="left" w:pos="851"/>
              </w:tabs>
              <w:spacing w:line="264" w:lineRule="auto"/>
              <w:rPr>
                <w:b/>
                <w:color w:val="000000"/>
                <w:sz w:val="22"/>
              </w:rPr>
            </w:pPr>
          </w:p>
          <w:p w:rsidR="003007B2" w:rsidRDefault="003007B2">
            <w:pPr>
              <w:pStyle w:val="Header"/>
              <w:tabs>
                <w:tab w:val="left" w:pos="851"/>
              </w:tabs>
              <w:spacing w:line="264" w:lineRule="auto"/>
              <w:rPr>
                <w:b/>
                <w:color w:val="000000"/>
                <w:sz w:val="22"/>
              </w:rPr>
            </w:pPr>
          </w:p>
          <w:p w:rsidR="003007B2" w:rsidRDefault="003007B2">
            <w:pPr>
              <w:pStyle w:val="Header"/>
              <w:tabs>
                <w:tab w:val="left" w:pos="851"/>
              </w:tabs>
              <w:spacing w:line="264" w:lineRule="auto"/>
              <w:rPr>
                <w:b/>
                <w:color w:val="000000"/>
                <w:sz w:val="22"/>
              </w:rPr>
            </w:pPr>
          </w:p>
          <w:p w:rsidR="003007B2" w:rsidRDefault="003007B2">
            <w:pPr>
              <w:pStyle w:val="Header"/>
              <w:tabs>
                <w:tab w:val="left" w:pos="851"/>
              </w:tabs>
              <w:spacing w:line="264" w:lineRule="auto"/>
              <w:rPr>
                <w:b/>
                <w:color w:val="000000"/>
                <w:sz w:val="22"/>
              </w:rPr>
            </w:pPr>
          </w:p>
          <w:p w:rsidR="00920EBC" w:rsidRDefault="00920EBC">
            <w:pPr>
              <w:pStyle w:val="Header"/>
              <w:tabs>
                <w:tab w:val="left" w:pos="851"/>
              </w:tabs>
              <w:spacing w:line="264" w:lineRule="auto"/>
              <w:rPr>
                <w:b/>
                <w:color w:val="000000"/>
                <w:sz w:val="22"/>
              </w:rPr>
            </w:pPr>
            <w:r>
              <w:rPr>
                <w:b/>
                <w:color w:val="000000"/>
                <w:sz w:val="22"/>
              </w:rPr>
              <w:t>4</w:t>
            </w:r>
          </w:p>
          <w:p w:rsidR="00C33753" w:rsidRDefault="00C33753">
            <w:pPr>
              <w:pStyle w:val="Header"/>
              <w:tabs>
                <w:tab w:val="left" w:pos="851"/>
              </w:tabs>
              <w:spacing w:line="264" w:lineRule="auto"/>
              <w:rPr>
                <w:b/>
                <w:color w:val="000000"/>
                <w:sz w:val="22"/>
              </w:rPr>
            </w:pPr>
          </w:p>
          <w:p w:rsidR="00C33753" w:rsidRDefault="00C33753">
            <w:pPr>
              <w:pStyle w:val="Header"/>
              <w:tabs>
                <w:tab w:val="left" w:pos="851"/>
              </w:tabs>
              <w:spacing w:line="264" w:lineRule="auto"/>
              <w:rPr>
                <w:b/>
                <w:color w:val="000000"/>
                <w:sz w:val="22"/>
              </w:rPr>
            </w:pPr>
          </w:p>
          <w:p w:rsidR="00C33753" w:rsidRDefault="00C33753">
            <w:pPr>
              <w:pStyle w:val="Header"/>
              <w:tabs>
                <w:tab w:val="left" w:pos="851"/>
              </w:tabs>
              <w:spacing w:line="264" w:lineRule="auto"/>
              <w:rPr>
                <w:b/>
                <w:color w:val="000000"/>
                <w:sz w:val="22"/>
              </w:rPr>
            </w:pPr>
          </w:p>
          <w:p w:rsidR="00C33753" w:rsidRDefault="00C33753">
            <w:pPr>
              <w:pStyle w:val="Header"/>
              <w:tabs>
                <w:tab w:val="left" w:pos="851"/>
              </w:tabs>
              <w:spacing w:line="264" w:lineRule="auto"/>
              <w:rPr>
                <w:b/>
                <w:color w:val="000000"/>
                <w:sz w:val="22"/>
              </w:rPr>
            </w:pPr>
          </w:p>
          <w:p w:rsidR="00C33753" w:rsidRDefault="00C33753">
            <w:pPr>
              <w:pStyle w:val="Header"/>
              <w:tabs>
                <w:tab w:val="left" w:pos="851"/>
              </w:tabs>
              <w:spacing w:line="264" w:lineRule="auto"/>
              <w:rPr>
                <w:b/>
                <w:color w:val="000000"/>
                <w:sz w:val="22"/>
              </w:rPr>
            </w:pPr>
          </w:p>
          <w:p w:rsidR="00C33753" w:rsidRDefault="00C33753">
            <w:pPr>
              <w:pStyle w:val="Header"/>
              <w:tabs>
                <w:tab w:val="left" w:pos="851"/>
              </w:tabs>
              <w:spacing w:line="264" w:lineRule="auto"/>
              <w:rPr>
                <w:b/>
                <w:color w:val="000000"/>
                <w:sz w:val="22"/>
              </w:rPr>
            </w:pPr>
          </w:p>
          <w:p w:rsidR="00C33753" w:rsidRPr="000A5BE3" w:rsidRDefault="00C33753">
            <w:pPr>
              <w:pStyle w:val="Header"/>
              <w:tabs>
                <w:tab w:val="left" w:pos="851"/>
              </w:tabs>
              <w:spacing w:line="264" w:lineRule="auto"/>
              <w:rPr>
                <w:b/>
                <w:color w:val="000000"/>
                <w:sz w:val="22"/>
              </w:rPr>
            </w:pPr>
            <w:r>
              <w:rPr>
                <w:b/>
                <w:color w:val="000000"/>
                <w:sz w:val="22"/>
              </w:rPr>
              <w:t>5</w:t>
            </w:r>
          </w:p>
        </w:tc>
        <w:tc>
          <w:tcPr>
            <w:tcW w:w="8949" w:type="dxa"/>
          </w:tcPr>
          <w:p w:rsidR="000A5BE3" w:rsidRDefault="000A5BE3" w:rsidP="000A5BE3">
            <w:pPr>
              <w:pStyle w:val="Header"/>
              <w:tabs>
                <w:tab w:val="left" w:pos="851"/>
              </w:tabs>
              <w:spacing w:line="264" w:lineRule="auto"/>
              <w:rPr>
                <w:b/>
                <w:color w:val="000000"/>
                <w:sz w:val="22"/>
              </w:rPr>
            </w:pPr>
            <w:r w:rsidRPr="000A5BE3">
              <w:rPr>
                <w:b/>
                <w:color w:val="000000"/>
                <w:sz w:val="22"/>
              </w:rPr>
              <w:t xml:space="preserve">Habitats Regulations Assessment </w:t>
            </w:r>
          </w:p>
          <w:p w:rsidR="000A5BE3" w:rsidRDefault="008640D9" w:rsidP="000A5BE3">
            <w:pPr>
              <w:pStyle w:val="Header"/>
              <w:numPr>
                <w:ilvl w:val="0"/>
                <w:numId w:val="13"/>
              </w:numPr>
              <w:tabs>
                <w:tab w:val="left" w:pos="851"/>
              </w:tabs>
              <w:spacing w:line="264" w:lineRule="auto"/>
              <w:rPr>
                <w:color w:val="000000"/>
                <w:sz w:val="22"/>
              </w:rPr>
            </w:pPr>
            <w:r w:rsidRPr="008640D9">
              <w:rPr>
                <w:color w:val="000000"/>
                <w:sz w:val="22"/>
              </w:rPr>
              <w:t xml:space="preserve">Derek highlighted that usually the GMEU would not necessarily need to form part of a neighbourhood planning meeting however </w:t>
            </w:r>
            <w:r>
              <w:rPr>
                <w:color w:val="000000"/>
                <w:sz w:val="22"/>
              </w:rPr>
              <w:t xml:space="preserve">a very significant part of Saddleworth falls within ecological designations and therefore it was important to be present. </w:t>
            </w:r>
          </w:p>
          <w:p w:rsidR="008640D9" w:rsidRDefault="00A63D69" w:rsidP="000A5BE3">
            <w:pPr>
              <w:pStyle w:val="Header"/>
              <w:numPr>
                <w:ilvl w:val="0"/>
                <w:numId w:val="13"/>
              </w:numPr>
              <w:tabs>
                <w:tab w:val="left" w:pos="851"/>
              </w:tabs>
              <w:spacing w:line="264" w:lineRule="auto"/>
              <w:rPr>
                <w:color w:val="000000"/>
                <w:sz w:val="22"/>
              </w:rPr>
            </w:pPr>
            <w:r>
              <w:rPr>
                <w:color w:val="000000"/>
                <w:sz w:val="22"/>
              </w:rPr>
              <w:t>Saddleworth</w:t>
            </w:r>
            <w:r w:rsidR="008640D9">
              <w:rPr>
                <w:color w:val="000000"/>
                <w:sz w:val="22"/>
              </w:rPr>
              <w:t xml:space="preserve"> is covered by a European designation (South Pennine Moors Special Area of Conservation (SAC) and Special Protection Area for birds (SPA)).</w:t>
            </w:r>
          </w:p>
          <w:p w:rsidR="008640D9" w:rsidRDefault="008640D9" w:rsidP="000A5BE3">
            <w:pPr>
              <w:pStyle w:val="Header"/>
              <w:numPr>
                <w:ilvl w:val="0"/>
                <w:numId w:val="13"/>
              </w:numPr>
              <w:tabs>
                <w:tab w:val="left" w:pos="851"/>
              </w:tabs>
              <w:spacing w:line="264" w:lineRule="auto"/>
              <w:rPr>
                <w:color w:val="000000"/>
                <w:sz w:val="22"/>
              </w:rPr>
            </w:pPr>
            <w:r>
              <w:rPr>
                <w:color w:val="000000"/>
                <w:sz w:val="22"/>
              </w:rPr>
              <w:t>There are also local (sites of biological importance) and national designations (Sites of Special Scienti</w:t>
            </w:r>
            <w:r w:rsidR="00A63D69">
              <w:rPr>
                <w:color w:val="000000"/>
                <w:sz w:val="22"/>
              </w:rPr>
              <w:t>fi</w:t>
            </w:r>
            <w:r>
              <w:rPr>
                <w:color w:val="000000"/>
                <w:sz w:val="22"/>
              </w:rPr>
              <w:t xml:space="preserve">c Interest – SSSI). </w:t>
            </w:r>
          </w:p>
          <w:p w:rsidR="008640D9" w:rsidRDefault="008640D9" w:rsidP="000A5BE3">
            <w:pPr>
              <w:pStyle w:val="Header"/>
              <w:numPr>
                <w:ilvl w:val="0"/>
                <w:numId w:val="13"/>
              </w:numPr>
              <w:tabs>
                <w:tab w:val="left" w:pos="851"/>
              </w:tabs>
              <w:spacing w:line="264" w:lineRule="auto"/>
              <w:rPr>
                <w:color w:val="000000"/>
                <w:sz w:val="22"/>
              </w:rPr>
            </w:pPr>
            <w:r>
              <w:rPr>
                <w:color w:val="000000"/>
                <w:sz w:val="22"/>
              </w:rPr>
              <w:t xml:space="preserve">There is overlap between some of the above designations. </w:t>
            </w:r>
          </w:p>
          <w:p w:rsidR="00A63D69" w:rsidRDefault="000046CB" w:rsidP="000A5BE3">
            <w:pPr>
              <w:pStyle w:val="Header"/>
              <w:numPr>
                <w:ilvl w:val="0"/>
                <w:numId w:val="13"/>
              </w:numPr>
              <w:tabs>
                <w:tab w:val="left" w:pos="851"/>
              </w:tabs>
              <w:spacing w:line="264" w:lineRule="auto"/>
              <w:rPr>
                <w:color w:val="000000"/>
                <w:sz w:val="22"/>
              </w:rPr>
            </w:pPr>
            <w:r>
              <w:rPr>
                <w:color w:val="000000"/>
                <w:sz w:val="22"/>
              </w:rPr>
              <w:t xml:space="preserve">The draft plan should include mention of the nature </w:t>
            </w:r>
            <w:r w:rsidR="008640D9">
              <w:rPr>
                <w:color w:val="000000"/>
                <w:sz w:val="22"/>
              </w:rPr>
              <w:t xml:space="preserve">designations. </w:t>
            </w:r>
          </w:p>
          <w:p w:rsidR="00A63D69" w:rsidRDefault="00A63D69" w:rsidP="000A5BE3">
            <w:pPr>
              <w:pStyle w:val="Header"/>
              <w:numPr>
                <w:ilvl w:val="0"/>
                <w:numId w:val="13"/>
              </w:numPr>
              <w:tabs>
                <w:tab w:val="left" w:pos="851"/>
              </w:tabs>
              <w:spacing w:line="264" w:lineRule="auto"/>
              <w:rPr>
                <w:color w:val="000000"/>
                <w:sz w:val="22"/>
              </w:rPr>
            </w:pPr>
            <w:r>
              <w:rPr>
                <w:color w:val="000000"/>
                <w:sz w:val="22"/>
              </w:rPr>
              <w:t xml:space="preserve">The nature designations place statutory obligations </w:t>
            </w:r>
            <w:r w:rsidR="00715EAB">
              <w:rPr>
                <w:color w:val="000000"/>
                <w:sz w:val="22"/>
              </w:rPr>
              <w:t xml:space="preserve">on the preparation of a </w:t>
            </w:r>
            <w:r>
              <w:rPr>
                <w:color w:val="000000"/>
                <w:sz w:val="22"/>
              </w:rPr>
              <w:t>development plan. We are required to carry out a Habitats Regulations Assessment (HRA) Screening to assess any likely harm to a</w:t>
            </w:r>
            <w:r w:rsidR="00854A24">
              <w:rPr>
                <w:color w:val="000000"/>
                <w:sz w:val="22"/>
              </w:rPr>
              <w:t>n</w:t>
            </w:r>
            <w:r>
              <w:rPr>
                <w:color w:val="000000"/>
                <w:sz w:val="22"/>
              </w:rPr>
              <w:t xml:space="preserve"> ecological site as a result of the plan. </w:t>
            </w:r>
          </w:p>
          <w:p w:rsidR="008640D9" w:rsidRDefault="000046CB" w:rsidP="000A5BE3">
            <w:pPr>
              <w:pStyle w:val="Header"/>
              <w:numPr>
                <w:ilvl w:val="0"/>
                <w:numId w:val="13"/>
              </w:numPr>
              <w:tabs>
                <w:tab w:val="left" w:pos="851"/>
              </w:tabs>
              <w:spacing w:line="264" w:lineRule="auto"/>
              <w:rPr>
                <w:color w:val="000000"/>
                <w:sz w:val="22"/>
              </w:rPr>
            </w:pPr>
            <w:r>
              <w:rPr>
                <w:color w:val="000000"/>
                <w:sz w:val="22"/>
              </w:rPr>
              <w:t xml:space="preserve">Natural England </w:t>
            </w:r>
            <w:r w:rsidR="00715EAB">
              <w:rPr>
                <w:color w:val="000000"/>
                <w:sz w:val="22"/>
              </w:rPr>
              <w:t>recommends</w:t>
            </w:r>
            <w:r w:rsidR="00A63D69">
              <w:rPr>
                <w:color w:val="000000"/>
                <w:sz w:val="22"/>
              </w:rPr>
              <w:t xml:space="preserve"> starting the HRA process as early as possible. The HRA is a</w:t>
            </w:r>
            <w:r>
              <w:rPr>
                <w:color w:val="000000"/>
                <w:sz w:val="22"/>
              </w:rPr>
              <w:t>n</w:t>
            </w:r>
            <w:r w:rsidR="00A63D69">
              <w:rPr>
                <w:color w:val="000000"/>
                <w:sz w:val="22"/>
              </w:rPr>
              <w:t xml:space="preserve"> iterative process </w:t>
            </w:r>
            <w:r>
              <w:rPr>
                <w:color w:val="000000"/>
                <w:sz w:val="22"/>
              </w:rPr>
              <w:t>i.e.</w:t>
            </w:r>
            <w:r w:rsidR="00A63D69">
              <w:rPr>
                <w:color w:val="000000"/>
                <w:sz w:val="22"/>
              </w:rPr>
              <w:t xml:space="preserve"> the HRA is only final when the neighbourhood plan is final. However the GMEU will need something to base their initial screening on</w:t>
            </w:r>
            <w:r w:rsidR="00715EAB">
              <w:rPr>
                <w:color w:val="000000"/>
                <w:sz w:val="22"/>
              </w:rPr>
              <w:t>;</w:t>
            </w:r>
            <w:r w:rsidR="00A63D69">
              <w:rPr>
                <w:color w:val="000000"/>
                <w:sz w:val="22"/>
              </w:rPr>
              <w:t xml:space="preserve"> </w:t>
            </w:r>
            <w:r>
              <w:rPr>
                <w:color w:val="000000"/>
                <w:sz w:val="22"/>
              </w:rPr>
              <w:t xml:space="preserve">therefore </w:t>
            </w:r>
            <w:r w:rsidR="00A63D69">
              <w:rPr>
                <w:color w:val="000000"/>
                <w:sz w:val="22"/>
              </w:rPr>
              <w:t xml:space="preserve">when the Parish </w:t>
            </w:r>
            <w:r>
              <w:rPr>
                <w:color w:val="000000"/>
                <w:sz w:val="22"/>
              </w:rPr>
              <w:t>Council</w:t>
            </w:r>
            <w:r w:rsidR="00A63D69">
              <w:rPr>
                <w:color w:val="000000"/>
                <w:sz w:val="22"/>
              </w:rPr>
              <w:t xml:space="preserve"> </w:t>
            </w:r>
            <w:r w:rsidR="00854A24">
              <w:rPr>
                <w:color w:val="000000"/>
                <w:sz w:val="22"/>
              </w:rPr>
              <w:t>has</w:t>
            </w:r>
            <w:r w:rsidR="00A63D69">
              <w:rPr>
                <w:color w:val="000000"/>
                <w:sz w:val="22"/>
              </w:rPr>
              <w:t xml:space="preserve"> prepared a first draft GMEU ca</w:t>
            </w:r>
            <w:r w:rsidR="00715EAB">
              <w:rPr>
                <w:color w:val="000000"/>
                <w:sz w:val="22"/>
              </w:rPr>
              <w:t xml:space="preserve">n provide an initial </w:t>
            </w:r>
            <w:r w:rsidR="00A63D69">
              <w:rPr>
                <w:color w:val="000000"/>
                <w:sz w:val="22"/>
              </w:rPr>
              <w:t>screen</w:t>
            </w:r>
            <w:r w:rsidR="00715EAB">
              <w:rPr>
                <w:color w:val="000000"/>
                <w:sz w:val="22"/>
              </w:rPr>
              <w:t>ing report</w:t>
            </w:r>
            <w:r w:rsidR="00A63D69">
              <w:rPr>
                <w:color w:val="000000"/>
                <w:sz w:val="22"/>
              </w:rPr>
              <w:t xml:space="preserve">. </w:t>
            </w:r>
          </w:p>
          <w:p w:rsidR="000046CB" w:rsidRDefault="00854A24" w:rsidP="000A5BE3">
            <w:pPr>
              <w:pStyle w:val="Header"/>
              <w:numPr>
                <w:ilvl w:val="0"/>
                <w:numId w:val="13"/>
              </w:numPr>
              <w:tabs>
                <w:tab w:val="left" w:pos="851"/>
              </w:tabs>
              <w:spacing w:line="264" w:lineRule="auto"/>
              <w:rPr>
                <w:color w:val="000000"/>
                <w:sz w:val="22"/>
              </w:rPr>
            </w:pPr>
            <w:r>
              <w:rPr>
                <w:color w:val="000000"/>
                <w:sz w:val="22"/>
              </w:rPr>
              <w:t xml:space="preserve">Derek confirmed that GMEU can carry out the Screening /HRA and as Oldham Council pay GMEU for their services the HRA for the neighbourhood plan would be done at no extra cost as it is covered by the SLA between </w:t>
            </w:r>
            <w:r w:rsidR="00F2394A">
              <w:rPr>
                <w:color w:val="000000"/>
                <w:sz w:val="22"/>
              </w:rPr>
              <w:t>the ten Greater Manchester Councils</w:t>
            </w:r>
            <w:r>
              <w:rPr>
                <w:color w:val="000000"/>
                <w:sz w:val="22"/>
              </w:rPr>
              <w:t xml:space="preserve"> </w:t>
            </w:r>
            <w:r w:rsidR="00F2394A">
              <w:rPr>
                <w:color w:val="000000"/>
                <w:sz w:val="22"/>
              </w:rPr>
              <w:t xml:space="preserve">and GMEU. </w:t>
            </w:r>
          </w:p>
          <w:p w:rsidR="00DE1A4D" w:rsidRDefault="00DE1A4D" w:rsidP="000A5BE3">
            <w:pPr>
              <w:pStyle w:val="Header"/>
              <w:numPr>
                <w:ilvl w:val="0"/>
                <w:numId w:val="13"/>
              </w:numPr>
              <w:tabs>
                <w:tab w:val="left" w:pos="851"/>
              </w:tabs>
              <w:spacing w:line="264" w:lineRule="auto"/>
              <w:rPr>
                <w:color w:val="000000"/>
                <w:sz w:val="22"/>
              </w:rPr>
            </w:pPr>
            <w:r>
              <w:rPr>
                <w:color w:val="000000"/>
                <w:sz w:val="22"/>
              </w:rPr>
              <w:t xml:space="preserve">The HRA will be submitted to the Inspector as a supporting document (evidence) and will form part of the justification and evidence informing the Basic Conditions Statement. </w:t>
            </w:r>
          </w:p>
          <w:p w:rsidR="00513A45" w:rsidRDefault="00513A45" w:rsidP="000A5BE3">
            <w:pPr>
              <w:pStyle w:val="Header"/>
              <w:numPr>
                <w:ilvl w:val="0"/>
                <w:numId w:val="13"/>
              </w:numPr>
              <w:tabs>
                <w:tab w:val="left" w:pos="851"/>
              </w:tabs>
              <w:spacing w:line="264" w:lineRule="auto"/>
              <w:rPr>
                <w:color w:val="000000"/>
                <w:sz w:val="22"/>
              </w:rPr>
            </w:pPr>
            <w:r>
              <w:rPr>
                <w:color w:val="000000"/>
                <w:sz w:val="22"/>
              </w:rPr>
              <w:t xml:space="preserve">The HRA for the neighbourhood plan will have similar issues to the GMSF HRA but on a scaled down level. </w:t>
            </w:r>
          </w:p>
          <w:p w:rsidR="00513A45" w:rsidRDefault="00513A45" w:rsidP="00513A45">
            <w:pPr>
              <w:pStyle w:val="Header"/>
              <w:numPr>
                <w:ilvl w:val="0"/>
                <w:numId w:val="13"/>
              </w:numPr>
              <w:tabs>
                <w:tab w:val="left" w:pos="851"/>
              </w:tabs>
              <w:spacing w:line="264" w:lineRule="auto"/>
              <w:rPr>
                <w:color w:val="000000"/>
                <w:sz w:val="22"/>
              </w:rPr>
            </w:pPr>
            <w:r w:rsidRPr="00DE1A4D">
              <w:rPr>
                <w:b/>
                <w:color w:val="000000"/>
                <w:sz w:val="22"/>
              </w:rPr>
              <w:t>Action: Derek</w:t>
            </w:r>
            <w:r>
              <w:rPr>
                <w:color w:val="000000"/>
                <w:sz w:val="22"/>
              </w:rPr>
              <w:t xml:space="preserve"> to email maps of the designations to Georgina and a brief summary of HRA Regulations. </w:t>
            </w:r>
          </w:p>
          <w:p w:rsidR="00513A45" w:rsidRDefault="00CA5EC1" w:rsidP="000A5BE3">
            <w:pPr>
              <w:pStyle w:val="Header"/>
              <w:numPr>
                <w:ilvl w:val="0"/>
                <w:numId w:val="13"/>
              </w:numPr>
              <w:tabs>
                <w:tab w:val="left" w:pos="851"/>
              </w:tabs>
              <w:spacing w:line="264" w:lineRule="auto"/>
              <w:rPr>
                <w:color w:val="000000"/>
                <w:sz w:val="22"/>
              </w:rPr>
            </w:pPr>
            <w:r>
              <w:rPr>
                <w:color w:val="000000"/>
                <w:sz w:val="22"/>
              </w:rPr>
              <w:t xml:space="preserve">Derek explained that gaps between ecological sites exist because although there might be ecological value there is not enough justification to meet the criteria. However increasing emphasis is placed on ecological networks.  </w:t>
            </w:r>
          </w:p>
          <w:p w:rsidR="00CA5EC1" w:rsidRDefault="00CA5EC1" w:rsidP="00CA5EC1">
            <w:pPr>
              <w:pStyle w:val="Header"/>
              <w:tabs>
                <w:tab w:val="left" w:pos="851"/>
              </w:tabs>
              <w:spacing w:line="264" w:lineRule="auto"/>
              <w:rPr>
                <w:color w:val="000000"/>
                <w:sz w:val="22"/>
              </w:rPr>
            </w:pPr>
          </w:p>
          <w:p w:rsidR="00CA5EC1" w:rsidRDefault="00CA5EC1" w:rsidP="00CA5EC1">
            <w:pPr>
              <w:pStyle w:val="Header"/>
              <w:tabs>
                <w:tab w:val="left" w:pos="851"/>
              </w:tabs>
              <w:spacing w:line="264" w:lineRule="auto"/>
              <w:rPr>
                <w:b/>
                <w:color w:val="000000"/>
                <w:sz w:val="22"/>
              </w:rPr>
            </w:pPr>
            <w:r w:rsidRPr="00D878E0">
              <w:rPr>
                <w:b/>
                <w:color w:val="000000"/>
                <w:sz w:val="22"/>
              </w:rPr>
              <w:t xml:space="preserve">The Neighbourhood Planning Regulations </w:t>
            </w:r>
          </w:p>
          <w:p w:rsidR="00D878E0" w:rsidRPr="00D878E0" w:rsidRDefault="00D878E0" w:rsidP="00CA5EC1">
            <w:pPr>
              <w:pStyle w:val="Header"/>
              <w:tabs>
                <w:tab w:val="left" w:pos="851"/>
              </w:tabs>
              <w:spacing w:line="264" w:lineRule="auto"/>
              <w:rPr>
                <w:b/>
                <w:color w:val="000000"/>
                <w:sz w:val="22"/>
              </w:rPr>
            </w:pPr>
          </w:p>
          <w:p w:rsidR="00CA5EC1" w:rsidRDefault="00CA5EC1" w:rsidP="00CA5EC1">
            <w:pPr>
              <w:pStyle w:val="Header"/>
              <w:numPr>
                <w:ilvl w:val="0"/>
                <w:numId w:val="14"/>
              </w:numPr>
              <w:tabs>
                <w:tab w:val="left" w:pos="851"/>
              </w:tabs>
              <w:spacing w:line="264" w:lineRule="auto"/>
              <w:rPr>
                <w:color w:val="000000"/>
                <w:sz w:val="22"/>
              </w:rPr>
            </w:pPr>
            <w:r>
              <w:rPr>
                <w:color w:val="000000"/>
                <w:sz w:val="22"/>
              </w:rPr>
              <w:t>Georgina gave a complete copy of the Neighbourhood</w:t>
            </w:r>
            <w:r w:rsidR="00DA72EA">
              <w:rPr>
                <w:color w:val="000000"/>
                <w:sz w:val="22"/>
              </w:rPr>
              <w:t xml:space="preserve"> Planning Regulations (</w:t>
            </w:r>
            <w:r>
              <w:rPr>
                <w:color w:val="000000"/>
                <w:sz w:val="22"/>
              </w:rPr>
              <w:t xml:space="preserve">including the 2016 amendments) to the Parish Council and a document which identified the Parish Council responsibilities in terms of the regulations. </w:t>
            </w:r>
          </w:p>
          <w:p w:rsidR="005868B0" w:rsidRPr="005868B0" w:rsidRDefault="00D878E0" w:rsidP="005868B0">
            <w:pPr>
              <w:pStyle w:val="Header"/>
              <w:numPr>
                <w:ilvl w:val="0"/>
                <w:numId w:val="14"/>
              </w:numPr>
              <w:tabs>
                <w:tab w:val="left" w:pos="851"/>
              </w:tabs>
              <w:spacing w:line="264" w:lineRule="auto"/>
              <w:rPr>
                <w:color w:val="000000"/>
                <w:sz w:val="22"/>
              </w:rPr>
            </w:pPr>
            <w:r>
              <w:rPr>
                <w:color w:val="000000"/>
                <w:sz w:val="22"/>
              </w:rPr>
              <w:t xml:space="preserve">Georgina gave an overview of the steps involved. </w:t>
            </w:r>
          </w:p>
          <w:p w:rsidR="00D878E0" w:rsidRDefault="00D878E0" w:rsidP="00920EBC">
            <w:pPr>
              <w:pStyle w:val="Header"/>
              <w:tabs>
                <w:tab w:val="left" w:pos="851"/>
              </w:tabs>
              <w:spacing w:line="264" w:lineRule="auto"/>
              <w:rPr>
                <w:color w:val="000000"/>
                <w:sz w:val="22"/>
              </w:rPr>
            </w:pPr>
          </w:p>
          <w:p w:rsidR="00920EBC" w:rsidRDefault="00920EBC" w:rsidP="00920EBC">
            <w:pPr>
              <w:pStyle w:val="Header"/>
              <w:tabs>
                <w:tab w:val="left" w:pos="851"/>
              </w:tabs>
              <w:spacing w:line="264" w:lineRule="auto"/>
              <w:rPr>
                <w:b/>
                <w:color w:val="000000"/>
                <w:sz w:val="22"/>
              </w:rPr>
            </w:pPr>
            <w:r w:rsidRPr="00C33753">
              <w:rPr>
                <w:b/>
                <w:color w:val="000000"/>
                <w:sz w:val="22"/>
              </w:rPr>
              <w:t xml:space="preserve">Strategic </w:t>
            </w:r>
            <w:r w:rsidR="00C33753" w:rsidRPr="00C33753">
              <w:rPr>
                <w:b/>
                <w:color w:val="000000"/>
                <w:sz w:val="22"/>
              </w:rPr>
              <w:t>Planning</w:t>
            </w:r>
            <w:r w:rsidRPr="00C33753">
              <w:rPr>
                <w:b/>
                <w:color w:val="000000"/>
                <w:sz w:val="22"/>
              </w:rPr>
              <w:t xml:space="preserve"> Policies of the Peak District National Park A</w:t>
            </w:r>
            <w:r w:rsidR="00C33753" w:rsidRPr="00C33753">
              <w:rPr>
                <w:b/>
                <w:color w:val="000000"/>
                <w:sz w:val="22"/>
              </w:rPr>
              <w:t xml:space="preserve">uthority </w:t>
            </w:r>
          </w:p>
          <w:p w:rsidR="00CA5AE2" w:rsidRPr="005868B0" w:rsidRDefault="005868B0" w:rsidP="005868B0">
            <w:pPr>
              <w:pStyle w:val="Header"/>
              <w:numPr>
                <w:ilvl w:val="0"/>
                <w:numId w:val="15"/>
              </w:numPr>
              <w:tabs>
                <w:tab w:val="left" w:pos="851"/>
              </w:tabs>
              <w:spacing w:line="264" w:lineRule="auto"/>
              <w:rPr>
                <w:color w:val="000000"/>
                <w:sz w:val="22"/>
              </w:rPr>
            </w:pPr>
            <w:r w:rsidRPr="005868B0">
              <w:rPr>
                <w:color w:val="000000"/>
                <w:sz w:val="22"/>
              </w:rPr>
              <w:t>Georgina outlined that the neighbourhood plan must conform to the</w:t>
            </w:r>
            <w:r>
              <w:rPr>
                <w:color w:val="000000"/>
                <w:sz w:val="22"/>
              </w:rPr>
              <w:t xml:space="preserve"> strategic </w:t>
            </w:r>
          </w:p>
        </w:tc>
      </w:tr>
      <w:tr w:rsidR="00D9222C" w:rsidTr="001D0AB0">
        <w:trPr>
          <w:cantSplit/>
          <w:trHeight w:val="279"/>
        </w:trPr>
        <w:tc>
          <w:tcPr>
            <w:tcW w:w="676" w:type="dxa"/>
          </w:tcPr>
          <w:p w:rsidR="00D9222C" w:rsidRDefault="00D9222C">
            <w:pPr>
              <w:pStyle w:val="Header"/>
              <w:tabs>
                <w:tab w:val="left" w:pos="851"/>
              </w:tabs>
              <w:spacing w:line="264" w:lineRule="auto"/>
              <w:rPr>
                <w:color w:val="000000"/>
                <w:sz w:val="22"/>
              </w:rPr>
            </w:pPr>
          </w:p>
        </w:tc>
        <w:tc>
          <w:tcPr>
            <w:tcW w:w="8949" w:type="dxa"/>
          </w:tcPr>
          <w:p w:rsidR="00D9222C" w:rsidRDefault="00D9222C">
            <w:pPr>
              <w:pStyle w:val="Header"/>
              <w:tabs>
                <w:tab w:val="left" w:pos="851"/>
              </w:tabs>
              <w:spacing w:line="264" w:lineRule="auto"/>
              <w:rPr>
                <w:color w:val="000000"/>
                <w:sz w:val="22"/>
              </w:rPr>
            </w:pPr>
          </w:p>
        </w:tc>
      </w:tr>
      <w:tr w:rsidR="00D9222C" w:rsidTr="001D0AB0">
        <w:trPr>
          <w:cantSplit/>
          <w:trHeight w:val="279"/>
        </w:trPr>
        <w:tc>
          <w:tcPr>
            <w:tcW w:w="676" w:type="dxa"/>
          </w:tcPr>
          <w:p w:rsidR="00D9222C" w:rsidRPr="001B7830" w:rsidRDefault="00D9222C">
            <w:pPr>
              <w:pStyle w:val="Header"/>
              <w:tabs>
                <w:tab w:val="left" w:pos="851"/>
              </w:tabs>
              <w:spacing w:line="264" w:lineRule="auto"/>
              <w:rPr>
                <w:b/>
                <w:color w:val="000000"/>
                <w:sz w:val="22"/>
                <w:szCs w:val="32"/>
                <w:lang w:val="en-US"/>
              </w:rPr>
            </w:pPr>
          </w:p>
        </w:tc>
        <w:tc>
          <w:tcPr>
            <w:tcW w:w="8949" w:type="dxa"/>
          </w:tcPr>
          <w:p w:rsidR="00D9222C" w:rsidRPr="001B7830" w:rsidRDefault="00D9222C">
            <w:pPr>
              <w:pStyle w:val="Header"/>
              <w:tabs>
                <w:tab w:val="left" w:pos="851"/>
              </w:tabs>
              <w:spacing w:line="264" w:lineRule="auto"/>
              <w:rPr>
                <w:b/>
                <w:bCs/>
                <w:color w:val="000000"/>
                <w:sz w:val="22"/>
                <w:szCs w:val="32"/>
                <w:lang w:val="en-US"/>
              </w:rPr>
            </w:pPr>
          </w:p>
        </w:tc>
      </w:tr>
      <w:tr w:rsidR="00D9222C" w:rsidTr="001D0AB0">
        <w:trPr>
          <w:cantSplit/>
          <w:trHeight w:val="1965"/>
        </w:trPr>
        <w:tc>
          <w:tcPr>
            <w:tcW w:w="676" w:type="dxa"/>
          </w:tcPr>
          <w:p w:rsidR="00D9222C" w:rsidRDefault="00D9222C">
            <w:pPr>
              <w:pStyle w:val="Header"/>
              <w:tabs>
                <w:tab w:val="left" w:pos="851"/>
              </w:tabs>
              <w:spacing w:line="264" w:lineRule="auto"/>
              <w:rPr>
                <w:color w:val="000000"/>
                <w:sz w:val="22"/>
                <w:szCs w:val="32"/>
                <w:lang w:val="en-US"/>
              </w:rPr>
            </w:pPr>
          </w:p>
          <w:p w:rsidR="00DD55C5" w:rsidRDefault="00DD55C5">
            <w:pPr>
              <w:pStyle w:val="Header"/>
              <w:tabs>
                <w:tab w:val="left" w:pos="851"/>
              </w:tabs>
              <w:spacing w:line="264" w:lineRule="auto"/>
              <w:rPr>
                <w:color w:val="000000"/>
                <w:sz w:val="22"/>
                <w:szCs w:val="32"/>
                <w:lang w:val="en-US"/>
              </w:rPr>
            </w:pPr>
          </w:p>
          <w:p w:rsidR="00DD55C5" w:rsidRDefault="00DD55C5">
            <w:pPr>
              <w:pStyle w:val="Header"/>
              <w:tabs>
                <w:tab w:val="left" w:pos="851"/>
              </w:tabs>
              <w:spacing w:line="264" w:lineRule="auto"/>
              <w:rPr>
                <w:color w:val="000000"/>
                <w:sz w:val="22"/>
                <w:szCs w:val="32"/>
                <w:lang w:val="en-US"/>
              </w:rPr>
            </w:pPr>
          </w:p>
          <w:p w:rsidR="00DD55C5" w:rsidRDefault="00DD55C5">
            <w:pPr>
              <w:pStyle w:val="Header"/>
              <w:tabs>
                <w:tab w:val="left" w:pos="851"/>
              </w:tabs>
              <w:spacing w:line="264" w:lineRule="auto"/>
              <w:rPr>
                <w:color w:val="000000"/>
                <w:sz w:val="22"/>
                <w:szCs w:val="32"/>
                <w:lang w:val="en-US"/>
              </w:rPr>
            </w:pPr>
          </w:p>
          <w:p w:rsidR="00DD55C5" w:rsidRDefault="00DD55C5">
            <w:pPr>
              <w:pStyle w:val="Header"/>
              <w:tabs>
                <w:tab w:val="left" w:pos="851"/>
              </w:tabs>
              <w:spacing w:line="264" w:lineRule="auto"/>
              <w:rPr>
                <w:color w:val="000000"/>
                <w:sz w:val="22"/>
                <w:szCs w:val="32"/>
                <w:lang w:val="en-US"/>
              </w:rPr>
            </w:pPr>
          </w:p>
          <w:p w:rsidR="00DD55C5" w:rsidRDefault="00DD55C5">
            <w:pPr>
              <w:pStyle w:val="Header"/>
              <w:tabs>
                <w:tab w:val="left" w:pos="851"/>
              </w:tabs>
              <w:spacing w:line="264" w:lineRule="auto"/>
              <w:rPr>
                <w:color w:val="000000"/>
                <w:sz w:val="22"/>
                <w:szCs w:val="32"/>
                <w:lang w:val="en-US"/>
              </w:rPr>
            </w:pPr>
          </w:p>
          <w:p w:rsidR="00DD55C5" w:rsidRDefault="00DD55C5">
            <w:pPr>
              <w:pStyle w:val="Header"/>
              <w:tabs>
                <w:tab w:val="left" w:pos="851"/>
              </w:tabs>
              <w:spacing w:line="264" w:lineRule="auto"/>
              <w:rPr>
                <w:color w:val="000000"/>
                <w:sz w:val="22"/>
                <w:szCs w:val="32"/>
                <w:lang w:val="en-US"/>
              </w:rPr>
            </w:pPr>
          </w:p>
          <w:p w:rsidR="00DD55C5" w:rsidRDefault="00DD55C5">
            <w:pPr>
              <w:pStyle w:val="Header"/>
              <w:tabs>
                <w:tab w:val="left" w:pos="851"/>
              </w:tabs>
              <w:spacing w:line="264" w:lineRule="auto"/>
              <w:rPr>
                <w:color w:val="000000"/>
                <w:sz w:val="22"/>
                <w:szCs w:val="32"/>
                <w:lang w:val="en-US"/>
              </w:rPr>
            </w:pPr>
          </w:p>
          <w:p w:rsidR="00DD55C5" w:rsidRDefault="00DD55C5">
            <w:pPr>
              <w:pStyle w:val="Header"/>
              <w:tabs>
                <w:tab w:val="left" w:pos="851"/>
              </w:tabs>
              <w:spacing w:line="264" w:lineRule="auto"/>
              <w:rPr>
                <w:color w:val="000000"/>
                <w:sz w:val="22"/>
                <w:szCs w:val="32"/>
                <w:lang w:val="en-US"/>
              </w:rPr>
            </w:pPr>
          </w:p>
          <w:p w:rsidR="00DD55C5" w:rsidRDefault="00DD55C5">
            <w:pPr>
              <w:pStyle w:val="Header"/>
              <w:tabs>
                <w:tab w:val="left" w:pos="851"/>
              </w:tabs>
              <w:spacing w:line="264" w:lineRule="auto"/>
              <w:rPr>
                <w:color w:val="000000"/>
                <w:sz w:val="22"/>
                <w:szCs w:val="32"/>
                <w:lang w:val="en-US"/>
              </w:rPr>
            </w:pPr>
          </w:p>
          <w:p w:rsidR="00DD55C5" w:rsidRDefault="00DD55C5">
            <w:pPr>
              <w:pStyle w:val="Header"/>
              <w:tabs>
                <w:tab w:val="left" w:pos="851"/>
              </w:tabs>
              <w:spacing w:line="264" w:lineRule="auto"/>
              <w:rPr>
                <w:color w:val="000000"/>
                <w:sz w:val="22"/>
                <w:szCs w:val="32"/>
                <w:lang w:val="en-US"/>
              </w:rPr>
            </w:pPr>
          </w:p>
          <w:p w:rsidR="00DD55C5" w:rsidRDefault="00DD55C5">
            <w:pPr>
              <w:pStyle w:val="Header"/>
              <w:tabs>
                <w:tab w:val="left" w:pos="851"/>
              </w:tabs>
              <w:spacing w:line="264" w:lineRule="auto"/>
              <w:rPr>
                <w:color w:val="000000"/>
                <w:sz w:val="22"/>
                <w:szCs w:val="32"/>
                <w:lang w:val="en-US"/>
              </w:rPr>
            </w:pPr>
          </w:p>
          <w:p w:rsidR="00DD55C5" w:rsidRDefault="00DD55C5">
            <w:pPr>
              <w:pStyle w:val="Header"/>
              <w:tabs>
                <w:tab w:val="left" w:pos="851"/>
              </w:tabs>
              <w:spacing w:line="264" w:lineRule="auto"/>
              <w:rPr>
                <w:color w:val="000000"/>
                <w:sz w:val="22"/>
                <w:szCs w:val="32"/>
                <w:lang w:val="en-US"/>
              </w:rPr>
            </w:pPr>
          </w:p>
          <w:p w:rsidR="00DD55C5" w:rsidRDefault="00496EA6">
            <w:pPr>
              <w:pStyle w:val="Header"/>
              <w:tabs>
                <w:tab w:val="left" w:pos="851"/>
              </w:tabs>
              <w:spacing w:line="264" w:lineRule="auto"/>
              <w:rPr>
                <w:b/>
                <w:color w:val="000000"/>
                <w:sz w:val="22"/>
                <w:szCs w:val="32"/>
                <w:lang w:val="en-US"/>
              </w:rPr>
            </w:pPr>
            <w:r>
              <w:rPr>
                <w:b/>
                <w:color w:val="000000"/>
                <w:sz w:val="22"/>
                <w:szCs w:val="32"/>
                <w:lang w:val="en-US"/>
              </w:rPr>
              <w:t>6</w:t>
            </w:r>
          </w:p>
          <w:p w:rsidR="008F10B9" w:rsidRDefault="008F10B9">
            <w:pPr>
              <w:pStyle w:val="Header"/>
              <w:tabs>
                <w:tab w:val="left" w:pos="851"/>
              </w:tabs>
              <w:spacing w:line="264" w:lineRule="auto"/>
              <w:rPr>
                <w:b/>
                <w:color w:val="000000"/>
                <w:sz w:val="22"/>
                <w:szCs w:val="32"/>
                <w:lang w:val="en-US"/>
              </w:rPr>
            </w:pPr>
          </w:p>
          <w:p w:rsidR="008F10B9" w:rsidRDefault="008F10B9">
            <w:pPr>
              <w:pStyle w:val="Header"/>
              <w:tabs>
                <w:tab w:val="left" w:pos="851"/>
              </w:tabs>
              <w:spacing w:line="264" w:lineRule="auto"/>
              <w:rPr>
                <w:b/>
                <w:color w:val="000000"/>
                <w:sz w:val="22"/>
                <w:szCs w:val="32"/>
                <w:lang w:val="en-US"/>
              </w:rPr>
            </w:pPr>
          </w:p>
          <w:p w:rsidR="008F10B9" w:rsidRDefault="008F10B9">
            <w:pPr>
              <w:pStyle w:val="Header"/>
              <w:tabs>
                <w:tab w:val="left" w:pos="851"/>
              </w:tabs>
              <w:spacing w:line="264" w:lineRule="auto"/>
              <w:rPr>
                <w:b/>
                <w:color w:val="000000"/>
                <w:sz w:val="22"/>
                <w:szCs w:val="32"/>
                <w:lang w:val="en-US"/>
              </w:rPr>
            </w:pPr>
          </w:p>
          <w:p w:rsidR="008F10B9" w:rsidRDefault="008F10B9">
            <w:pPr>
              <w:pStyle w:val="Header"/>
              <w:tabs>
                <w:tab w:val="left" w:pos="851"/>
              </w:tabs>
              <w:spacing w:line="264" w:lineRule="auto"/>
              <w:rPr>
                <w:b/>
                <w:color w:val="000000"/>
                <w:sz w:val="22"/>
                <w:szCs w:val="32"/>
                <w:lang w:val="en-US"/>
              </w:rPr>
            </w:pPr>
          </w:p>
          <w:p w:rsidR="008F10B9" w:rsidRDefault="008F10B9">
            <w:pPr>
              <w:pStyle w:val="Header"/>
              <w:tabs>
                <w:tab w:val="left" w:pos="851"/>
              </w:tabs>
              <w:spacing w:line="264" w:lineRule="auto"/>
              <w:rPr>
                <w:b/>
                <w:color w:val="000000"/>
                <w:sz w:val="22"/>
                <w:szCs w:val="32"/>
                <w:lang w:val="en-US"/>
              </w:rPr>
            </w:pPr>
          </w:p>
          <w:p w:rsidR="008F10B9" w:rsidRDefault="008F10B9">
            <w:pPr>
              <w:pStyle w:val="Header"/>
              <w:tabs>
                <w:tab w:val="left" w:pos="851"/>
              </w:tabs>
              <w:spacing w:line="264" w:lineRule="auto"/>
              <w:rPr>
                <w:b/>
                <w:color w:val="000000"/>
                <w:sz w:val="22"/>
                <w:szCs w:val="32"/>
                <w:lang w:val="en-US"/>
              </w:rPr>
            </w:pPr>
          </w:p>
          <w:p w:rsidR="008F10B9" w:rsidRDefault="008F10B9">
            <w:pPr>
              <w:pStyle w:val="Header"/>
              <w:tabs>
                <w:tab w:val="left" w:pos="851"/>
              </w:tabs>
              <w:spacing w:line="264" w:lineRule="auto"/>
              <w:rPr>
                <w:b/>
                <w:color w:val="000000"/>
                <w:sz w:val="22"/>
                <w:szCs w:val="32"/>
                <w:lang w:val="en-US"/>
              </w:rPr>
            </w:pPr>
          </w:p>
          <w:p w:rsidR="008F10B9" w:rsidRPr="00DD55C5" w:rsidRDefault="008F10B9">
            <w:pPr>
              <w:pStyle w:val="Header"/>
              <w:tabs>
                <w:tab w:val="left" w:pos="851"/>
              </w:tabs>
              <w:spacing w:line="264" w:lineRule="auto"/>
              <w:rPr>
                <w:b/>
                <w:color w:val="000000"/>
                <w:sz w:val="22"/>
                <w:szCs w:val="32"/>
                <w:lang w:val="en-US"/>
              </w:rPr>
            </w:pPr>
            <w:r>
              <w:rPr>
                <w:b/>
                <w:color w:val="000000"/>
                <w:sz w:val="22"/>
                <w:szCs w:val="32"/>
                <w:lang w:val="en-US"/>
              </w:rPr>
              <w:t>7</w:t>
            </w:r>
          </w:p>
        </w:tc>
        <w:tc>
          <w:tcPr>
            <w:tcW w:w="8949" w:type="dxa"/>
          </w:tcPr>
          <w:p w:rsidR="005868B0" w:rsidRDefault="005868B0" w:rsidP="005868B0">
            <w:pPr>
              <w:pStyle w:val="Header"/>
              <w:tabs>
                <w:tab w:val="left" w:pos="851"/>
              </w:tabs>
              <w:spacing w:line="264" w:lineRule="auto"/>
              <w:rPr>
                <w:color w:val="000000"/>
                <w:sz w:val="22"/>
              </w:rPr>
            </w:pPr>
            <w:r>
              <w:rPr>
                <w:color w:val="000000"/>
                <w:sz w:val="22"/>
              </w:rPr>
              <w:t xml:space="preserve">Planning Policies of the Local Plan. For Saddleworth Neighbourhood Plan this includes GMSF, Oldham Joint DPD </w:t>
            </w:r>
            <w:r w:rsidR="00DA72EA">
              <w:rPr>
                <w:color w:val="000000"/>
                <w:sz w:val="22"/>
              </w:rPr>
              <w:t xml:space="preserve">/ emerging Local Plan review </w:t>
            </w:r>
            <w:r>
              <w:rPr>
                <w:color w:val="000000"/>
                <w:sz w:val="22"/>
              </w:rPr>
              <w:t>and the policies outlined in the</w:t>
            </w:r>
            <w:r w:rsidR="00DA72EA">
              <w:rPr>
                <w:color w:val="000000"/>
                <w:sz w:val="22"/>
              </w:rPr>
              <w:t xml:space="preserve"> note by the P</w:t>
            </w:r>
            <w:r>
              <w:rPr>
                <w:color w:val="000000"/>
                <w:sz w:val="22"/>
              </w:rPr>
              <w:t xml:space="preserve">eak District National Park Authority. </w:t>
            </w:r>
          </w:p>
          <w:p w:rsidR="005868B0" w:rsidRDefault="005868B0" w:rsidP="008877D6">
            <w:pPr>
              <w:pStyle w:val="Header"/>
              <w:numPr>
                <w:ilvl w:val="0"/>
                <w:numId w:val="6"/>
              </w:numPr>
              <w:tabs>
                <w:tab w:val="left" w:pos="851"/>
              </w:tabs>
              <w:spacing w:line="264" w:lineRule="auto"/>
              <w:rPr>
                <w:color w:val="000000"/>
                <w:sz w:val="22"/>
              </w:rPr>
            </w:pPr>
            <w:r>
              <w:rPr>
                <w:color w:val="000000"/>
                <w:sz w:val="22"/>
              </w:rPr>
              <w:t>A copy of the strategic policies has been given to Saddleworth Parish C</w:t>
            </w:r>
            <w:r w:rsidR="009B1886">
              <w:rPr>
                <w:color w:val="000000"/>
                <w:sz w:val="22"/>
              </w:rPr>
              <w:t xml:space="preserve">ouncil. </w:t>
            </w:r>
          </w:p>
          <w:p w:rsidR="009B1886" w:rsidRDefault="002E21E4" w:rsidP="008877D6">
            <w:pPr>
              <w:pStyle w:val="Header"/>
              <w:numPr>
                <w:ilvl w:val="0"/>
                <w:numId w:val="6"/>
              </w:numPr>
              <w:tabs>
                <w:tab w:val="left" w:pos="851"/>
              </w:tabs>
              <w:spacing w:line="264" w:lineRule="auto"/>
              <w:rPr>
                <w:color w:val="000000"/>
                <w:sz w:val="22"/>
              </w:rPr>
            </w:pPr>
            <w:r>
              <w:rPr>
                <w:color w:val="000000"/>
                <w:sz w:val="22"/>
              </w:rPr>
              <w:t xml:space="preserve">The neighbourhood plan does not have to </w:t>
            </w:r>
            <w:r w:rsidR="00DA72EA">
              <w:rPr>
                <w:color w:val="000000"/>
                <w:sz w:val="22"/>
              </w:rPr>
              <w:t xml:space="preserve">outline how it confirms to </w:t>
            </w:r>
            <w:r>
              <w:rPr>
                <w:color w:val="000000"/>
                <w:sz w:val="22"/>
              </w:rPr>
              <w:t xml:space="preserve">all of the </w:t>
            </w:r>
            <w:r w:rsidR="00DA72EA">
              <w:rPr>
                <w:color w:val="000000"/>
                <w:sz w:val="22"/>
              </w:rPr>
              <w:t xml:space="preserve">policies at national and local level; </w:t>
            </w:r>
            <w:r>
              <w:rPr>
                <w:color w:val="000000"/>
                <w:sz w:val="22"/>
              </w:rPr>
              <w:t>only those that are relevant to the neighbourhood plan.</w:t>
            </w:r>
          </w:p>
          <w:p w:rsidR="002E21E4" w:rsidRDefault="002E21E4" w:rsidP="008877D6">
            <w:pPr>
              <w:pStyle w:val="Header"/>
              <w:numPr>
                <w:ilvl w:val="0"/>
                <w:numId w:val="6"/>
              </w:numPr>
              <w:tabs>
                <w:tab w:val="left" w:pos="851"/>
              </w:tabs>
              <w:spacing w:line="264" w:lineRule="auto"/>
              <w:rPr>
                <w:color w:val="000000"/>
                <w:sz w:val="22"/>
              </w:rPr>
            </w:pPr>
            <w:r>
              <w:rPr>
                <w:color w:val="000000"/>
                <w:sz w:val="22"/>
              </w:rPr>
              <w:t xml:space="preserve">The neighbourhood plan must not include </w:t>
            </w:r>
            <w:r w:rsidR="002C1E76">
              <w:rPr>
                <w:color w:val="000000"/>
                <w:sz w:val="22"/>
              </w:rPr>
              <w:t>“excluded development”</w:t>
            </w:r>
            <w:r w:rsidR="00DD55C5">
              <w:rPr>
                <w:color w:val="000000"/>
                <w:sz w:val="22"/>
              </w:rPr>
              <w:t xml:space="preserve"> such as </w:t>
            </w:r>
            <w:r w:rsidR="002C1E76">
              <w:rPr>
                <w:color w:val="000000"/>
                <w:sz w:val="22"/>
              </w:rPr>
              <w:t>waste and minerals</w:t>
            </w:r>
            <w:r w:rsidR="00DD55C5">
              <w:rPr>
                <w:color w:val="000000"/>
                <w:sz w:val="22"/>
              </w:rPr>
              <w:t xml:space="preserve">. </w:t>
            </w:r>
          </w:p>
          <w:p w:rsidR="005868B0" w:rsidRDefault="00DD55C5" w:rsidP="008877D6">
            <w:pPr>
              <w:pStyle w:val="Header"/>
              <w:numPr>
                <w:ilvl w:val="0"/>
                <w:numId w:val="6"/>
              </w:numPr>
              <w:tabs>
                <w:tab w:val="left" w:pos="851"/>
              </w:tabs>
              <w:spacing w:line="264" w:lineRule="auto"/>
              <w:rPr>
                <w:color w:val="000000"/>
                <w:sz w:val="22"/>
              </w:rPr>
            </w:pPr>
            <w:r>
              <w:rPr>
                <w:color w:val="000000"/>
                <w:sz w:val="22"/>
              </w:rPr>
              <w:t xml:space="preserve">Saddleworth Parish Council noted that policies 15 and 15 on centres and local shopping parades (Oldham Joint DPD) may be of interest to the neighbourhood plan. </w:t>
            </w:r>
          </w:p>
          <w:p w:rsidR="00DD55C5" w:rsidRDefault="00DD55C5" w:rsidP="00DD55C5">
            <w:pPr>
              <w:pStyle w:val="Header"/>
              <w:tabs>
                <w:tab w:val="left" w:pos="743"/>
              </w:tabs>
              <w:spacing w:line="264" w:lineRule="auto"/>
              <w:rPr>
                <w:color w:val="000000"/>
                <w:sz w:val="22"/>
              </w:rPr>
            </w:pPr>
          </w:p>
          <w:p w:rsidR="00DD55C5" w:rsidRPr="00DD55C5" w:rsidRDefault="00DD55C5" w:rsidP="00DD55C5">
            <w:pPr>
              <w:pStyle w:val="Header"/>
              <w:tabs>
                <w:tab w:val="left" w:pos="743"/>
              </w:tabs>
              <w:spacing w:line="264" w:lineRule="auto"/>
              <w:rPr>
                <w:b/>
                <w:color w:val="000000"/>
                <w:sz w:val="22"/>
                <w:szCs w:val="32"/>
                <w:lang w:val="en-US"/>
              </w:rPr>
            </w:pPr>
            <w:r w:rsidRPr="00DD55C5">
              <w:rPr>
                <w:b/>
                <w:color w:val="000000"/>
                <w:sz w:val="22"/>
                <w:szCs w:val="32"/>
                <w:lang w:val="en-US"/>
              </w:rPr>
              <w:t xml:space="preserve">Basic Conditions Statement </w:t>
            </w:r>
          </w:p>
          <w:p w:rsidR="00DD55C5" w:rsidRDefault="00DD55C5" w:rsidP="00DD55C5">
            <w:pPr>
              <w:pStyle w:val="Header"/>
              <w:numPr>
                <w:ilvl w:val="0"/>
                <w:numId w:val="19"/>
              </w:numPr>
              <w:tabs>
                <w:tab w:val="left" w:pos="743"/>
              </w:tabs>
              <w:spacing w:line="264" w:lineRule="auto"/>
              <w:rPr>
                <w:color w:val="000000"/>
                <w:sz w:val="22"/>
                <w:szCs w:val="32"/>
                <w:lang w:val="en-US"/>
              </w:rPr>
            </w:pPr>
            <w:r>
              <w:rPr>
                <w:color w:val="000000"/>
                <w:sz w:val="22"/>
                <w:szCs w:val="32"/>
                <w:lang w:val="en-US"/>
              </w:rPr>
              <w:t xml:space="preserve">Georgina gave guidance on the purpose of </w:t>
            </w:r>
            <w:r w:rsidR="00496EA6">
              <w:rPr>
                <w:color w:val="000000"/>
                <w:sz w:val="22"/>
                <w:szCs w:val="32"/>
                <w:lang w:val="en-US"/>
              </w:rPr>
              <w:t xml:space="preserve">a </w:t>
            </w:r>
            <w:r>
              <w:rPr>
                <w:color w:val="000000"/>
                <w:sz w:val="22"/>
                <w:szCs w:val="32"/>
                <w:lang w:val="en-US"/>
              </w:rPr>
              <w:t xml:space="preserve">Basic Conditions Statement and guidance from planning practice guidance website. The Basic Conditions Statement will be one of the key supporting documents that the Inspector will use to assess whether the plan is sound. </w:t>
            </w:r>
          </w:p>
          <w:p w:rsidR="008F10B9" w:rsidRDefault="00496EA6" w:rsidP="008F10B9">
            <w:pPr>
              <w:pStyle w:val="Header"/>
              <w:numPr>
                <w:ilvl w:val="0"/>
                <w:numId w:val="19"/>
              </w:numPr>
              <w:tabs>
                <w:tab w:val="left" w:pos="743"/>
              </w:tabs>
              <w:spacing w:line="264" w:lineRule="auto"/>
              <w:rPr>
                <w:color w:val="000000"/>
                <w:sz w:val="22"/>
                <w:szCs w:val="32"/>
                <w:lang w:val="en-US"/>
              </w:rPr>
            </w:pPr>
            <w:r>
              <w:rPr>
                <w:color w:val="000000"/>
                <w:sz w:val="22"/>
                <w:szCs w:val="32"/>
                <w:lang w:val="en-US"/>
              </w:rPr>
              <w:t xml:space="preserve">An example Basic Conditions Statement was provided as well as RTPI / Planning Aid guidance ‘How to write a Basic Conditions Statement’. </w:t>
            </w:r>
          </w:p>
          <w:p w:rsidR="008F10B9" w:rsidRDefault="008F10B9" w:rsidP="008F10B9">
            <w:pPr>
              <w:pStyle w:val="Header"/>
              <w:tabs>
                <w:tab w:val="left" w:pos="743"/>
              </w:tabs>
              <w:spacing w:line="264" w:lineRule="auto"/>
              <w:ind w:left="360"/>
              <w:rPr>
                <w:color w:val="000000"/>
                <w:sz w:val="22"/>
                <w:szCs w:val="32"/>
                <w:lang w:val="en-US"/>
              </w:rPr>
            </w:pPr>
          </w:p>
          <w:p w:rsidR="008F10B9" w:rsidRPr="00CD1642" w:rsidRDefault="008F10B9" w:rsidP="008F10B9">
            <w:pPr>
              <w:pStyle w:val="Header"/>
              <w:tabs>
                <w:tab w:val="left" w:pos="743"/>
              </w:tabs>
              <w:spacing w:line="264" w:lineRule="auto"/>
              <w:ind w:left="360"/>
              <w:rPr>
                <w:b/>
                <w:color w:val="000000"/>
                <w:sz w:val="22"/>
                <w:szCs w:val="32"/>
                <w:lang w:val="en-US"/>
              </w:rPr>
            </w:pPr>
            <w:r w:rsidRPr="00CD1642">
              <w:rPr>
                <w:b/>
                <w:color w:val="000000"/>
                <w:sz w:val="22"/>
                <w:szCs w:val="32"/>
                <w:lang w:val="en-US"/>
              </w:rPr>
              <w:t>Strategic Environmental Assessment Screening / Equality Impact Assessment</w:t>
            </w:r>
          </w:p>
          <w:p w:rsidR="008F10B9" w:rsidRDefault="008F10B9" w:rsidP="008F10B9">
            <w:pPr>
              <w:pStyle w:val="Header"/>
              <w:numPr>
                <w:ilvl w:val="0"/>
                <w:numId w:val="20"/>
              </w:numPr>
              <w:tabs>
                <w:tab w:val="left" w:pos="743"/>
              </w:tabs>
              <w:spacing w:line="264" w:lineRule="auto"/>
              <w:rPr>
                <w:color w:val="000000"/>
                <w:sz w:val="22"/>
                <w:szCs w:val="32"/>
                <w:lang w:val="en-US"/>
              </w:rPr>
            </w:pPr>
            <w:r>
              <w:rPr>
                <w:color w:val="000000"/>
                <w:sz w:val="22"/>
                <w:szCs w:val="32"/>
                <w:lang w:val="en-US"/>
              </w:rPr>
              <w:t xml:space="preserve">Georgina </w:t>
            </w:r>
            <w:r w:rsidR="00933B71">
              <w:rPr>
                <w:color w:val="000000"/>
                <w:sz w:val="22"/>
                <w:szCs w:val="32"/>
                <w:lang w:val="en-US"/>
              </w:rPr>
              <w:t>gave</w:t>
            </w:r>
            <w:r>
              <w:rPr>
                <w:color w:val="000000"/>
                <w:sz w:val="22"/>
                <w:szCs w:val="32"/>
                <w:lang w:val="en-US"/>
              </w:rPr>
              <w:t xml:space="preserve"> guidance on SEA screening from Planning Practice Guidance and outlined that</w:t>
            </w:r>
            <w:r w:rsidR="00933B71">
              <w:rPr>
                <w:color w:val="000000"/>
                <w:sz w:val="22"/>
                <w:szCs w:val="32"/>
                <w:lang w:val="en-US"/>
              </w:rPr>
              <w:t xml:space="preserve"> </w:t>
            </w:r>
            <w:r>
              <w:rPr>
                <w:color w:val="000000"/>
                <w:sz w:val="22"/>
                <w:szCs w:val="32"/>
                <w:lang w:val="en-US"/>
              </w:rPr>
              <w:t xml:space="preserve">a SA is not </w:t>
            </w:r>
            <w:r w:rsidR="00933B71">
              <w:rPr>
                <w:color w:val="000000"/>
                <w:sz w:val="22"/>
                <w:szCs w:val="32"/>
                <w:lang w:val="en-US"/>
              </w:rPr>
              <w:t>necessary;</w:t>
            </w:r>
            <w:r>
              <w:rPr>
                <w:color w:val="000000"/>
                <w:sz w:val="22"/>
                <w:szCs w:val="32"/>
                <w:lang w:val="en-US"/>
              </w:rPr>
              <w:t xml:space="preserve"> however after a Screening if a SEA is required this may b</w:t>
            </w:r>
            <w:r w:rsidR="00933B71">
              <w:rPr>
                <w:color w:val="000000"/>
                <w:sz w:val="22"/>
                <w:szCs w:val="32"/>
                <w:lang w:val="en-US"/>
              </w:rPr>
              <w:t>e</w:t>
            </w:r>
            <w:r>
              <w:rPr>
                <w:color w:val="000000"/>
                <w:sz w:val="22"/>
                <w:szCs w:val="32"/>
                <w:lang w:val="en-US"/>
              </w:rPr>
              <w:t xml:space="preserve"> done through a SA. </w:t>
            </w:r>
          </w:p>
          <w:p w:rsidR="008F10B9" w:rsidRDefault="008F10B9" w:rsidP="008F10B9">
            <w:pPr>
              <w:pStyle w:val="Header"/>
              <w:numPr>
                <w:ilvl w:val="0"/>
                <w:numId w:val="20"/>
              </w:numPr>
              <w:tabs>
                <w:tab w:val="left" w:pos="743"/>
              </w:tabs>
              <w:spacing w:line="264" w:lineRule="auto"/>
              <w:rPr>
                <w:color w:val="000000"/>
                <w:sz w:val="22"/>
                <w:szCs w:val="32"/>
                <w:lang w:val="en-US"/>
              </w:rPr>
            </w:pPr>
            <w:r>
              <w:rPr>
                <w:color w:val="000000"/>
                <w:sz w:val="22"/>
                <w:szCs w:val="32"/>
                <w:lang w:val="en-US"/>
              </w:rPr>
              <w:t xml:space="preserve">A SEA Screening needs to be undertaken fairly early in the process like the HRA Screening and if a SEA is required it will be refined as the plan is progressed. </w:t>
            </w:r>
          </w:p>
          <w:p w:rsidR="008F10B9" w:rsidRDefault="008F10B9" w:rsidP="008F10B9">
            <w:pPr>
              <w:pStyle w:val="Header"/>
              <w:numPr>
                <w:ilvl w:val="0"/>
                <w:numId w:val="20"/>
              </w:numPr>
              <w:tabs>
                <w:tab w:val="left" w:pos="743"/>
              </w:tabs>
              <w:spacing w:line="264" w:lineRule="auto"/>
              <w:rPr>
                <w:color w:val="000000"/>
                <w:sz w:val="22"/>
                <w:szCs w:val="32"/>
                <w:lang w:val="en-US"/>
              </w:rPr>
            </w:pPr>
            <w:r>
              <w:rPr>
                <w:color w:val="000000"/>
                <w:sz w:val="22"/>
                <w:szCs w:val="32"/>
                <w:lang w:val="en-US"/>
              </w:rPr>
              <w:t xml:space="preserve">Oldham Council </w:t>
            </w:r>
            <w:r w:rsidR="00933B71">
              <w:rPr>
                <w:color w:val="000000"/>
                <w:sz w:val="22"/>
                <w:szCs w:val="32"/>
                <w:lang w:val="en-US"/>
              </w:rPr>
              <w:t>has</w:t>
            </w:r>
            <w:r>
              <w:rPr>
                <w:color w:val="000000"/>
                <w:sz w:val="22"/>
                <w:szCs w:val="32"/>
                <w:lang w:val="en-US"/>
              </w:rPr>
              <w:t xml:space="preserve"> carried out </w:t>
            </w:r>
            <w:r w:rsidR="00DE3379">
              <w:rPr>
                <w:color w:val="000000"/>
                <w:sz w:val="22"/>
                <w:szCs w:val="32"/>
                <w:lang w:val="en-US"/>
              </w:rPr>
              <w:t xml:space="preserve">a </w:t>
            </w:r>
            <w:r>
              <w:rPr>
                <w:color w:val="000000"/>
                <w:sz w:val="22"/>
                <w:szCs w:val="32"/>
                <w:lang w:val="en-US"/>
              </w:rPr>
              <w:t xml:space="preserve">SEA </w:t>
            </w:r>
            <w:r w:rsidR="00232F31">
              <w:rPr>
                <w:color w:val="000000"/>
                <w:sz w:val="22"/>
                <w:szCs w:val="32"/>
                <w:lang w:val="en-US"/>
              </w:rPr>
              <w:t>Screening</w:t>
            </w:r>
            <w:r>
              <w:rPr>
                <w:color w:val="000000"/>
                <w:sz w:val="22"/>
                <w:szCs w:val="32"/>
                <w:lang w:val="en-US"/>
              </w:rPr>
              <w:t xml:space="preserve"> for the Site Allocations </w:t>
            </w:r>
            <w:r w:rsidR="00DE3379">
              <w:rPr>
                <w:color w:val="000000"/>
                <w:sz w:val="22"/>
                <w:szCs w:val="32"/>
                <w:lang w:val="en-US"/>
              </w:rPr>
              <w:t>Plan and</w:t>
            </w:r>
            <w:r>
              <w:rPr>
                <w:color w:val="000000"/>
                <w:sz w:val="22"/>
                <w:szCs w:val="32"/>
                <w:lang w:val="en-US"/>
              </w:rPr>
              <w:t xml:space="preserve"> can help with this. </w:t>
            </w:r>
          </w:p>
          <w:p w:rsidR="008F10B9" w:rsidRDefault="00CD1642" w:rsidP="008F10B9">
            <w:pPr>
              <w:pStyle w:val="Header"/>
              <w:numPr>
                <w:ilvl w:val="0"/>
                <w:numId w:val="20"/>
              </w:numPr>
              <w:tabs>
                <w:tab w:val="left" w:pos="743"/>
              </w:tabs>
              <w:spacing w:line="264" w:lineRule="auto"/>
              <w:rPr>
                <w:color w:val="000000"/>
                <w:sz w:val="22"/>
                <w:szCs w:val="32"/>
                <w:lang w:val="en-US"/>
              </w:rPr>
            </w:pPr>
            <w:r>
              <w:rPr>
                <w:color w:val="000000"/>
                <w:sz w:val="22"/>
                <w:szCs w:val="32"/>
                <w:lang w:val="en-US"/>
              </w:rPr>
              <w:t>A</w:t>
            </w:r>
            <w:r w:rsidR="00933B71">
              <w:rPr>
                <w:color w:val="000000"/>
                <w:sz w:val="22"/>
                <w:szCs w:val="32"/>
                <w:lang w:val="en-US"/>
              </w:rPr>
              <w:t>n</w:t>
            </w:r>
            <w:r>
              <w:rPr>
                <w:color w:val="000000"/>
                <w:sz w:val="22"/>
                <w:szCs w:val="32"/>
                <w:lang w:val="en-US"/>
              </w:rPr>
              <w:t xml:space="preserve"> </w:t>
            </w:r>
            <w:r w:rsidR="008F10B9">
              <w:rPr>
                <w:color w:val="000000"/>
                <w:sz w:val="22"/>
                <w:szCs w:val="32"/>
                <w:lang w:val="en-US"/>
              </w:rPr>
              <w:t>EqIA is also recommended and a</w:t>
            </w:r>
            <w:r w:rsidR="00232F31">
              <w:rPr>
                <w:color w:val="000000"/>
                <w:sz w:val="22"/>
                <w:szCs w:val="32"/>
                <w:lang w:val="en-US"/>
              </w:rPr>
              <w:t>n</w:t>
            </w:r>
            <w:r w:rsidR="008F10B9">
              <w:rPr>
                <w:color w:val="000000"/>
                <w:sz w:val="22"/>
                <w:szCs w:val="32"/>
                <w:lang w:val="en-US"/>
              </w:rPr>
              <w:t xml:space="preserve"> Old</w:t>
            </w:r>
            <w:r>
              <w:rPr>
                <w:color w:val="000000"/>
                <w:sz w:val="22"/>
                <w:szCs w:val="32"/>
                <w:lang w:val="en-US"/>
              </w:rPr>
              <w:t>h</w:t>
            </w:r>
            <w:r w:rsidR="008F10B9">
              <w:rPr>
                <w:color w:val="000000"/>
                <w:sz w:val="22"/>
                <w:szCs w:val="32"/>
                <w:lang w:val="en-US"/>
              </w:rPr>
              <w:t>am C</w:t>
            </w:r>
            <w:r>
              <w:rPr>
                <w:color w:val="000000"/>
                <w:sz w:val="22"/>
                <w:szCs w:val="32"/>
                <w:lang w:val="en-US"/>
              </w:rPr>
              <w:t xml:space="preserve">ouncil example was provided. </w:t>
            </w:r>
            <w:r w:rsidR="008F10B9">
              <w:rPr>
                <w:color w:val="000000"/>
                <w:sz w:val="22"/>
                <w:szCs w:val="32"/>
                <w:lang w:val="en-US"/>
              </w:rPr>
              <w:t xml:space="preserve"> </w:t>
            </w:r>
          </w:p>
          <w:p w:rsidR="008F10B9" w:rsidRPr="008F10B9" w:rsidRDefault="008F10B9" w:rsidP="008F10B9">
            <w:pPr>
              <w:pStyle w:val="Header"/>
              <w:tabs>
                <w:tab w:val="left" w:pos="743"/>
              </w:tabs>
              <w:spacing w:line="264" w:lineRule="auto"/>
              <w:rPr>
                <w:color w:val="000000"/>
                <w:sz w:val="22"/>
                <w:szCs w:val="32"/>
                <w:lang w:val="en-US"/>
              </w:rPr>
            </w:pPr>
          </w:p>
        </w:tc>
      </w:tr>
      <w:tr w:rsidR="00D9222C" w:rsidTr="00694548">
        <w:trPr>
          <w:cantSplit/>
          <w:trHeight w:val="95"/>
        </w:trPr>
        <w:tc>
          <w:tcPr>
            <w:tcW w:w="676" w:type="dxa"/>
          </w:tcPr>
          <w:p w:rsidR="00D9222C" w:rsidRDefault="00B074F6">
            <w:pPr>
              <w:pStyle w:val="Header"/>
              <w:tabs>
                <w:tab w:val="left" w:pos="851"/>
              </w:tabs>
              <w:spacing w:line="264" w:lineRule="auto"/>
              <w:rPr>
                <w:b/>
                <w:color w:val="000000"/>
                <w:sz w:val="22"/>
                <w:szCs w:val="32"/>
                <w:lang w:val="en-US"/>
              </w:rPr>
            </w:pPr>
            <w:r w:rsidRPr="00B074F6">
              <w:rPr>
                <w:b/>
                <w:color w:val="000000"/>
                <w:sz w:val="22"/>
                <w:szCs w:val="32"/>
                <w:lang w:val="en-US"/>
              </w:rPr>
              <w:t>8</w:t>
            </w:r>
          </w:p>
          <w:p w:rsidR="002B60B5" w:rsidRDefault="002B60B5">
            <w:pPr>
              <w:pStyle w:val="Header"/>
              <w:tabs>
                <w:tab w:val="left" w:pos="851"/>
              </w:tabs>
              <w:spacing w:line="264" w:lineRule="auto"/>
              <w:rPr>
                <w:b/>
                <w:color w:val="000000"/>
                <w:sz w:val="22"/>
                <w:szCs w:val="32"/>
                <w:lang w:val="en-US"/>
              </w:rPr>
            </w:pPr>
          </w:p>
          <w:p w:rsidR="002B60B5" w:rsidRDefault="002B60B5">
            <w:pPr>
              <w:pStyle w:val="Header"/>
              <w:tabs>
                <w:tab w:val="left" w:pos="851"/>
              </w:tabs>
              <w:spacing w:line="264" w:lineRule="auto"/>
              <w:rPr>
                <w:b/>
                <w:color w:val="000000"/>
                <w:sz w:val="22"/>
                <w:szCs w:val="32"/>
                <w:lang w:val="en-US"/>
              </w:rPr>
            </w:pPr>
          </w:p>
          <w:p w:rsidR="002B60B5" w:rsidRDefault="002B60B5">
            <w:pPr>
              <w:pStyle w:val="Header"/>
              <w:tabs>
                <w:tab w:val="left" w:pos="851"/>
              </w:tabs>
              <w:spacing w:line="264" w:lineRule="auto"/>
              <w:rPr>
                <w:b/>
                <w:color w:val="000000"/>
                <w:sz w:val="22"/>
                <w:szCs w:val="32"/>
                <w:lang w:val="en-US"/>
              </w:rPr>
            </w:pPr>
          </w:p>
          <w:p w:rsidR="002B60B5" w:rsidRDefault="002B60B5">
            <w:pPr>
              <w:pStyle w:val="Header"/>
              <w:tabs>
                <w:tab w:val="left" w:pos="851"/>
              </w:tabs>
              <w:spacing w:line="264" w:lineRule="auto"/>
              <w:rPr>
                <w:b/>
                <w:color w:val="000000"/>
                <w:sz w:val="22"/>
                <w:szCs w:val="32"/>
                <w:lang w:val="en-US"/>
              </w:rPr>
            </w:pPr>
            <w:r>
              <w:rPr>
                <w:b/>
                <w:color w:val="000000"/>
                <w:sz w:val="22"/>
                <w:szCs w:val="32"/>
                <w:lang w:val="en-US"/>
              </w:rPr>
              <w:t>9</w:t>
            </w:r>
          </w:p>
          <w:p w:rsidR="008D1B11" w:rsidRDefault="008D1B11">
            <w:pPr>
              <w:pStyle w:val="Header"/>
              <w:tabs>
                <w:tab w:val="left" w:pos="851"/>
              </w:tabs>
              <w:spacing w:line="264" w:lineRule="auto"/>
              <w:rPr>
                <w:b/>
                <w:color w:val="000000"/>
                <w:sz w:val="22"/>
                <w:szCs w:val="32"/>
                <w:lang w:val="en-US"/>
              </w:rPr>
            </w:pPr>
          </w:p>
          <w:p w:rsidR="008D1B11" w:rsidRDefault="008D1B11">
            <w:pPr>
              <w:pStyle w:val="Header"/>
              <w:tabs>
                <w:tab w:val="left" w:pos="851"/>
              </w:tabs>
              <w:spacing w:line="264" w:lineRule="auto"/>
              <w:rPr>
                <w:b/>
                <w:color w:val="000000"/>
                <w:sz w:val="22"/>
                <w:szCs w:val="32"/>
                <w:lang w:val="en-US"/>
              </w:rPr>
            </w:pPr>
          </w:p>
          <w:p w:rsidR="008D1B11" w:rsidRDefault="008D1B11">
            <w:pPr>
              <w:pStyle w:val="Header"/>
              <w:tabs>
                <w:tab w:val="left" w:pos="851"/>
              </w:tabs>
              <w:spacing w:line="264" w:lineRule="auto"/>
              <w:rPr>
                <w:b/>
                <w:color w:val="000000"/>
                <w:sz w:val="22"/>
                <w:szCs w:val="32"/>
                <w:lang w:val="en-US"/>
              </w:rPr>
            </w:pPr>
          </w:p>
          <w:p w:rsidR="008D1B11" w:rsidRDefault="008D1B11">
            <w:pPr>
              <w:pStyle w:val="Header"/>
              <w:tabs>
                <w:tab w:val="left" w:pos="851"/>
              </w:tabs>
              <w:spacing w:line="264" w:lineRule="auto"/>
              <w:rPr>
                <w:b/>
                <w:color w:val="000000"/>
                <w:sz w:val="22"/>
                <w:szCs w:val="32"/>
                <w:lang w:val="en-US"/>
              </w:rPr>
            </w:pPr>
          </w:p>
          <w:p w:rsidR="008D1B11" w:rsidRDefault="008D1B11">
            <w:pPr>
              <w:pStyle w:val="Header"/>
              <w:tabs>
                <w:tab w:val="left" w:pos="851"/>
              </w:tabs>
              <w:spacing w:line="264" w:lineRule="auto"/>
              <w:rPr>
                <w:b/>
                <w:color w:val="000000"/>
                <w:sz w:val="22"/>
                <w:szCs w:val="32"/>
                <w:lang w:val="en-US"/>
              </w:rPr>
            </w:pPr>
          </w:p>
          <w:p w:rsidR="008D1B11" w:rsidRDefault="008D1B11">
            <w:pPr>
              <w:pStyle w:val="Header"/>
              <w:tabs>
                <w:tab w:val="left" w:pos="851"/>
              </w:tabs>
              <w:spacing w:line="264" w:lineRule="auto"/>
              <w:rPr>
                <w:b/>
                <w:color w:val="000000"/>
                <w:sz w:val="22"/>
                <w:szCs w:val="32"/>
                <w:lang w:val="en-US"/>
              </w:rPr>
            </w:pPr>
          </w:p>
          <w:p w:rsidR="008D1B11" w:rsidRPr="00B074F6" w:rsidRDefault="008D1B11">
            <w:pPr>
              <w:pStyle w:val="Header"/>
              <w:tabs>
                <w:tab w:val="left" w:pos="851"/>
              </w:tabs>
              <w:spacing w:line="264" w:lineRule="auto"/>
              <w:rPr>
                <w:b/>
                <w:color w:val="000000"/>
                <w:sz w:val="22"/>
                <w:szCs w:val="32"/>
                <w:lang w:val="en-US"/>
              </w:rPr>
            </w:pPr>
          </w:p>
        </w:tc>
        <w:tc>
          <w:tcPr>
            <w:tcW w:w="8949" w:type="dxa"/>
          </w:tcPr>
          <w:p w:rsidR="008F10B9" w:rsidRPr="00B074F6" w:rsidRDefault="00B074F6" w:rsidP="008877D6">
            <w:pPr>
              <w:pStyle w:val="Header"/>
              <w:tabs>
                <w:tab w:val="left" w:pos="851"/>
              </w:tabs>
              <w:spacing w:line="264" w:lineRule="auto"/>
              <w:rPr>
                <w:b/>
                <w:color w:val="000000"/>
                <w:sz w:val="22"/>
                <w:szCs w:val="32"/>
                <w:lang w:val="en-US"/>
              </w:rPr>
            </w:pPr>
            <w:r w:rsidRPr="00B074F6">
              <w:rPr>
                <w:b/>
                <w:color w:val="000000"/>
                <w:sz w:val="22"/>
                <w:szCs w:val="32"/>
                <w:lang w:val="en-US"/>
              </w:rPr>
              <w:t xml:space="preserve">Evidence  </w:t>
            </w:r>
          </w:p>
          <w:p w:rsidR="00B074F6" w:rsidRDefault="00B074F6" w:rsidP="00B074F6">
            <w:pPr>
              <w:pStyle w:val="Header"/>
              <w:numPr>
                <w:ilvl w:val="0"/>
                <w:numId w:val="21"/>
              </w:numPr>
              <w:tabs>
                <w:tab w:val="left" w:pos="851"/>
              </w:tabs>
              <w:spacing w:line="264" w:lineRule="auto"/>
              <w:rPr>
                <w:color w:val="000000"/>
                <w:sz w:val="22"/>
                <w:szCs w:val="32"/>
                <w:lang w:val="en-US"/>
              </w:rPr>
            </w:pPr>
            <w:r>
              <w:rPr>
                <w:color w:val="000000"/>
                <w:sz w:val="22"/>
                <w:szCs w:val="32"/>
                <w:lang w:val="en-US"/>
              </w:rPr>
              <w:t xml:space="preserve">Georgina provided a note on evidence. This can be discussed further once the topic areas have been identified. </w:t>
            </w:r>
          </w:p>
          <w:p w:rsidR="002B60B5" w:rsidRDefault="002B60B5" w:rsidP="002B60B5">
            <w:pPr>
              <w:pStyle w:val="Header"/>
              <w:tabs>
                <w:tab w:val="left" w:pos="851"/>
              </w:tabs>
              <w:spacing w:line="264" w:lineRule="auto"/>
              <w:rPr>
                <w:color w:val="000000"/>
                <w:sz w:val="22"/>
                <w:szCs w:val="32"/>
                <w:lang w:val="en-US"/>
              </w:rPr>
            </w:pPr>
          </w:p>
          <w:p w:rsidR="002B60B5" w:rsidRDefault="002B60B5" w:rsidP="002B60B5">
            <w:pPr>
              <w:pStyle w:val="Header"/>
              <w:tabs>
                <w:tab w:val="left" w:pos="851"/>
              </w:tabs>
              <w:spacing w:line="264" w:lineRule="auto"/>
              <w:rPr>
                <w:b/>
                <w:color w:val="000000"/>
                <w:sz w:val="22"/>
                <w:szCs w:val="32"/>
                <w:lang w:val="en-US"/>
              </w:rPr>
            </w:pPr>
            <w:r w:rsidRPr="002B60B5">
              <w:rPr>
                <w:b/>
                <w:color w:val="000000"/>
                <w:sz w:val="22"/>
                <w:szCs w:val="32"/>
                <w:lang w:val="en-US"/>
              </w:rPr>
              <w:t>Update from Saddleworth Parish Council</w:t>
            </w:r>
          </w:p>
          <w:p w:rsidR="002B60B5" w:rsidRDefault="002B60B5" w:rsidP="002B60B5">
            <w:pPr>
              <w:pStyle w:val="Header"/>
              <w:numPr>
                <w:ilvl w:val="0"/>
                <w:numId w:val="21"/>
              </w:numPr>
              <w:tabs>
                <w:tab w:val="left" w:pos="851"/>
              </w:tabs>
              <w:spacing w:line="264" w:lineRule="auto"/>
              <w:rPr>
                <w:color w:val="000000"/>
                <w:sz w:val="22"/>
                <w:szCs w:val="32"/>
                <w:lang w:val="en-US"/>
              </w:rPr>
            </w:pPr>
            <w:r w:rsidRPr="00C36828">
              <w:rPr>
                <w:color w:val="000000"/>
                <w:sz w:val="22"/>
                <w:szCs w:val="32"/>
                <w:lang w:val="en-US"/>
              </w:rPr>
              <w:t xml:space="preserve">The Parish </w:t>
            </w:r>
            <w:r w:rsidR="00C36828" w:rsidRPr="00C36828">
              <w:rPr>
                <w:color w:val="000000"/>
                <w:sz w:val="22"/>
                <w:szCs w:val="32"/>
                <w:lang w:val="en-US"/>
              </w:rPr>
              <w:t>Council</w:t>
            </w:r>
            <w:r w:rsidR="00D528EB">
              <w:rPr>
                <w:color w:val="000000"/>
                <w:sz w:val="22"/>
                <w:szCs w:val="32"/>
                <w:lang w:val="en-US"/>
              </w:rPr>
              <w:t xml:space="preserve"> noted that</w:t>
            </w:r>
            <w:r w:rsidRPr="00C36828">
              <w:rPr>
                <w:color w:val="000000"/>
                <w:sz w:val="22"/>
                <w:szCs w:val="32"/>
                <w:lang w:val="en-US"/>
              </w:rPr>
              <w:t xml:space="preserve"> they will have to use grants </w:t>
            </w:r>
            <w:r w:rsidR="00C36828" w:rsidRPr="00C36828">
              <w:rPr>
                <w:color w:val="000000"/>
                <w:sz w:val="22"/>
                <w:szCs w:val="32"/>
                <w:lang w:val="en-US"/>
              </w:rPr>
              <w:t xml:space="preserve">to </w:t>
            </w:r>
            <w:r w:rsidR="00D528EB">
              <w:rPr>
                <w:color w:val="000000"/>
                <w:sz w:val="22"/>
                <w:szCs w:val="32"/>
                <w:lang w:val="en-US"/>
              </w:rPr>
              <w:t xml:space="preserve">bring in areas of expertise. </w:t>
            </w:r>
          </w:p>
          <w:p w:rsidR="00D528EB" w:rsidRDefault="003A225E" w:rsidP="002B60B5">
            <w:pPr>
              <w:pStyle w:val="Header"/>
              <w:numPr>
                <w:ilvl w:val="0"/>
                <w:numId w:val="21"/>
              </w:numPr>
              <w:tabs>
                <w:tab w:val="left" w:pos="851"/>
              </w:tabs>
              <w:spacing w:line="264" w:lineRule="auto"/>
              <w:rPr>
                <w:color w:val="000000"/>
                <w:sz w:val="22"/>
                <w:szCs w:val="32"/>
                <w:lang w:val="en-US"/>
              </w:rPr>
            </w:pPr>
            <w:r w:rsidRPr="003A225E">
              <w:rPr>
                <w:b/>
                <w:color w:val="000000"/>
                <w:sz w:val="22"/>
                <w:szCs w:val="32"/>
                <w:lang w:val="en-US"/>
              </w:rPr>
              <w:t>Action:</w:t>
            </w:r>
            <w:r>
              <w:rPr>
                <w:color w:val="000000"/>
                <w:sz w:val="22"/>
                <w:szCs w:val="32"/>
                <w:lang w:val="en-US"/>
              </w:rPr>
              <w:t xml:space="preserve"> </w:t>
            </w:r>
            <w:r w:rsidR="00D528EB">
              <w:rPr>
                <w:color w:val="000000"/>
                <w:sz w:val="22"/>
                <w:szCs w:val="32"/>
                <w:lang w:val="en-US"/>
              </w:rPr>
              <w:t xml:space="preserve">The Parish Council agreed that they will organise a half day workshop in the New Year to agree a </w:t>
            </w:r>
            <w:r w:rsidR="00DE3379">
              <w:rPr>
                <w:color w:val="000000"/>
                <w:sz w:val="22"/>
                <w:szCs w:val="32"/>
                <w:lang w:val="en-US"/>
              </w:rPr>
              <w:t>P</w:t>
            </w:r>
            <w:r w:rsidR="00D528EB">
              <w:rPr>
                <w:color w:val="000000"/>
                <w:sz w:val="22"/>
                <w:szCs w:val="32"/>
                <w:lang w:val="en-US"/>
              </w:rPr>
              <w:t>roject Plan for the Neighbourhood Plan</w:t>
            </w:r>
            <w:r w:rsidR="00DE3379">
              <w:rPr>
                <w:color w:val="000000"/>
                <w:sz w:val="22"/>
                <w:szCs w:val="32"/>
                <w:lang w:val="en-US"/>
              </w:rPr>
              <w:t xml:space="preserve">, </w:t>
            </w:r>
            <w:r w:rsidR="00D528EB">
              <w:rPr>
                <w:color w:val="000000"/>
                <w:sz w:val="22"/>
                <w:szCs w:val="32"/>
                <w:lang w:val="en-US"/>
              </w:rPr>
              <w:t>confirm members of the planning committee</w:t>
            </w:r>
            <w:r w:rsidR="00DE3379">
              <w:rPr>
                <w:color w:val="000000"/>
                <w:sz w:val="22"/>
                <w:szCs w:val="32"/>
                <w:lang w:val="en-US"/>
              </w:rPr>
              <w:t xml:space="preserve"> and start to develop topic areas</w:t>
            </w:r>
            <w:r w:rsidR="00D528EB">
              <w:rPr>
                <w:color w:val="000000"/>
                <w:sz w:val="22"/>
                <w:szCs w:val="32"/>
                <w:lang w:val="en-US"/>
              </w:rPr>
              <w:t xml:space="preserve">. </w:t>
            </w:r>
          </w:p>
          <w:p w:rsidR="008D1B11" w:rsidRDefault="008D1B11" w:rsidP="008D1B11">
            <w:pPr>
              <w:pStyle w:val="Header"/>
              <w:tabs>
                <w:tab w:val="left" w:pos="851"/>
              </w:tabs>
              <w:spacing w:line="264" w:lineRule="auto"/>
              <w:rPr>
                <w:color w:val="000000"/>
                <w:sz w:val="22"/>
                <w:szCs w:val="32"/>
                <w:lang w:val="en-US"/>
              </w:rPr>
            </w:pPr>
          </w:p>
          <w:p w:rsidR="008877D6" w:rsidRDefault="008877D6" w:rsidP="008877D6">
            <w:pPr>
              <w:pStyle w:val="Header"/>
              <w:tabs>
                <w:tab w:val="left" w:pos="851"/>
              </w:tabs>
              <w:spacing w:line="264" w:lineRule="auto"/>
              <w:rPr>
                <w:b/>
                <w:color w:val="000000"/>
                <w:sz w:val="22"/>
                <w:szCs w:val="32"/>
                <w:lang w:val="en-US"/>
              </w:rPr>
            </w:pPr>
          </w:p>
          <w:p w:rsidR="008D1B11" w:rsidRDefault="008D1B11" w:rsidP="008877D6">
            <w:pPr>
              <w:pStyle w:val="Header"/>
              <w:tabs>
                <w:tab w:val="left" w:pos="851"/>
              </w:tabs>
              <w:spacing w:line="264" w:lineRule="auto"/>
              <w:rPr>
                <w:color w:val="000000"/>
                <w:sz w:val="22"/>
                <w:szCs w:val="32"/>
                <w:lang w:val="en-US"/>
              </w:rPr>
            </w:pPr>
          </w:p>
        </w:tc>
      </w:tr>
      <w:tr w:rsidR="00D9222C" w:rsidTr="001D0AB0">
        <w:trPr>
          <w:cantSplit/>
          <w:trHeight w:val="260"/>
        </w:trPr>
        <w:tc>
          <w:tcPr>
            <w:tcW w:w="676" w:type="dxa"/>
          </w:tcPr>
          <w:p w:rsidR="00D9222C" w:rsidRDefault="00CD420E">
            <w:pPr>
              <w:pStyle w:val="Header"/>
              <w:tabs>
                <w:tab w:val="left" w:pos="851"/>
              </w:tabs>
              <w:spacing w:line="264" w:lineRule="auto"/>
              <w:rPr>
                <w:b/>
                <w:color w:val="000000"/>
                <w:sz w:val="22"/>
                <w:szCs w:val="32"/>
                <w:lang w:val="en-US"/>
              </w:rPr>
            </w:pPr>
            <w:r w:rsidRPr="00CD420E">
              <w:rPr>
                <w:b/>
                <w:color w:val="000000"/>
                <w:sz w:val="22"/>
                <w:szCs w:val="32"/>
                <w:lang w:val="en-US"/>
              </w:rPr>
              <w:lastRenderedPageBreak/>
              <w:t>10</w:t>
            </w:r>
          </w:p>
          <w:p w:rsidR="00E66FDD" w:rsidRDefault="00E66FDD">
            <w:pPr>
              <w:pStyle w:val="Header"/>
              <w:tabs>
                <w:tab w:val="left" w:pos="851"/>
              </w:tabs>
              <w:spacing w:line="264" w:lineRule="auto"/>
              <w:rPr>
                <w:b/>
                <w:color w:val="000000"/>
                <w:sz w:val="22"/>
                <w:szCs w:val="32"/>
                <w:lang w:val="en-US"/>
              </w:rPr>
            </w:pPr>
          </w:p>
          <w:p w:rsidR="00E66FDD" w:rsidRDefault="00E66FDD">
            <w:pPr>
              <w:pStyle w:val="Header"/>
              <w:tabs>
                <w:tab w:val="left" w:pos="851"/>
              </w:tabs>
              <w:spacing w:line="264" w:lineRule="auto"/>
              <w:rPr>
                <w:b/>
                <w:color w:val="000000"/>
                <w:sz w:val="22"/>
                <w:szCs w:val="32"/>
                <w:lang w:val="en-US"/>
              </w:rPr>
            </w:pPr>
          </w:p>
          <w:p w:rsidR="00E66FDD" w:rsidRDefault="00E66FDD">
            <w:pPr>
              <w:pStyle w:val="Header"/>
              <w:tabs>
                <w:tab w:val="left" w:pos="851"/>
              </w:tabs>
              <w:spacing w:line="264" w:lineRule="auto"/>
              <w:rPr>
                <w:b/>
                <w:color w:val="000000"/>
                <w:sz w:val="22"/>
                <w:szCs w:val="32"/>
                <w:lang w:val="en-US"/>
              </w:rPr>
            </w:pPr>
          </w:p>
          <w:p w:rsidR="00E66FDD" w:rsidRDefault="00E66FDD">
            <w:pPr>
              <w:pStyle w:val="Header"/>
              <w:tabs>
                <w:tab w:val="left" w:pos="851"/>
              </w:tabs>
              <w:spacing w:line="264" w:lineRule="auto"/>
              <w:rPr>
                <w:b/>
                <w:color w:val="000000"/>
                <w:sz w:val="22"/>
                <w:szCs w:val="32"/>
                <w:lang w:val="en-US"/>
              </w:rPr>
            </w:pPr>
          </w:p>
          <w:p w:rsidR="00E66FDD" w:rsidRDefault="00E66FDD">
            <w:pPr>
              <w:pStyle w:val="Header"/>
              <w:tabs>
                <w:tab w:val="left" w:pos="851"/>
              </w:tabs>
              <w:spacing w:line="264" w:lineRule="auto"/>
              <w:rPr>
                <w:b/>
                <w:color w:val="000000"/>
                <w:sz w:val="22"/>
                <w:szCs w:val="32"/>
                <w:lang w:val="en-US"/>
              </w:rPr>
            </w:pPr>
          </w:p>
          <w:p w:rsidR="00E66FDD" w:rsidRDefault="00E66FDD">
            <w:pPr>
              <w:pStyle w:val="Header"/>
              <w:tabs>
                <w:tab w:val="left" w:pos="851"/>
              </w:tabs>
              <w:spacing w:line="264" w:lineRule="auto"/>
              <w:rPr>
                <w:b/>
                <w:color w:val="000000"/>
                <w:sz w:val="22"/>
                <w:szCs w:val="32"/>
                <w:lang w:val="en-US"/>
              </w:rPr>
            </w:pPr>
          </w:p>
          <w:p w:rsidR="00E66FDD" w:rsidRDefault="00E66FDD">
            <w:pPr>
              <w:pStyle w:val="Header"/>
              <w:tabs>
                <w:tab w:val="left" w:pos="851"/>
              </w:tabs>
              <w:spacing w:line="264" w:lineRule="auto"/>
              <w:rPr>
                <w:b/>
                <w:color w:val="000000"/>
                <w:sz w:val="22"/>
                <w:szCs w:val="32"/>
                <w:lang w:val="en-US"/>
              </w:rPr>
            </w:pPr>
          </w:p>
          <w:p w:rsidR="00E66FDD" w:rsidRDefault="00E66FDD">
            <w:pPr>
              <w:pStyle w:val="Header"/>
              <w:tabs>
                <w:tab w:val="left" w:pos="851"/>
              </w:tabs>
              <w:spacing w:line="264" w:lineRule="auto"/>
              <w:rPr>
                <w:b/>
                <w:color w:val="000000"/>
                <w:sz w:val="22"/>
                <w:szCs w:val="32"/>
                <w:lang w:val="en-US"/>
              </w:rPr>
            </w:pPr>
          </w:p>
          <w:p w:rsidR="00E66FDD" w:rsidRDefault="00E66FDD">
            <w:pPr>
              <w:pStyle w:val="Header"/>
              <w:tabs>
                <w:tab w:val="left" w:pos="851"/>
              </w:tabs>
              <w:spacing w:line="264" w:lineRule="auto"/>
              <w:rPr>
                <w:b/>
                <w:color w:val="000000"/>
                <w:sz w:val="22"/>
                <w:szCs w:val="32"/>
                <w:lang w:val="en-US"/>
              </w:rPr>
            </w:pPr>
          </w:p>
          <w:p w:rsidR="00E66FDD" w:rsidRDefault="00E66FDD">
            <w:pPr>
              <w:pStyle w:val="Header"/>
              <w:tabs>
                <w:tab w:val="left" w:pos="851"/>
              </w:tabs>
              <w:spacing w:line="264" w:lineRule="auto"/>
              <w:rPr>
                <w:b/>
                <w:color w:val="000000"/>
                <w:sz w:val="22"/>
                <w:szCs w:val="32"/>
                <w:lang w:val="en-US"/>
              </w:rPr>
            </w:pPr>
          </w:p>
          <w:p w:rsidR="00E66FDD" w:rsidRPr="00CD420E" w:rsidRDefault="00E66FDD">
            <w:pPr>
              <w:pStyle w:val="Header"/>
              <w:tabs>
                <w:tab w:val="left" w:pos="851"/>
              </w:tabs>
              <w:spacing w:line="264" w:lineRule="auto"/>
              <w:rPr>
                <w:b/>
                <w:color w:val="000000"/>
                <w:sz w:val="22"/>
                <w:szCs w:val="32"/>
                <w:lang w:val="en-US"/>
              </w:rPr>
            </w:pPr>
            <w:r>
              <w:rPr>
                <w:b/>
                <w:color w:val="000000"/>
                <w:sz w:val="22"/>
                <w:szCs w:val="32"/>
                <w:lang w:val="en-US"/>
              </w:rPr>
              <w:t>11</w:t>
            </w:r>
          </w:p>
        </w:tc>
        <w:tc>
          <w:tcPr>
            <w:tcW w:w="8949" w:type="dxa"/>
          </w:tcPr>
          <w:p w:rsidR="00CD420E" w:rsidRPr="00CD420E" w:rsidRDefault="00CD420E">
            <w:pPr>
              <w:pStyle w:val="Header"/>
              <w:tabs>
                <w:tab w:val="left" w:pos="851"/>
              </w:tabs>
              <w:spacing w:line="264" w:lineRule="auto"/>
              <w:rPr>
                <w:b/>
                <w:color w:val="000000"/>
                <w:sz w:val="22"/>
                <w:szCs w:val="32"/>
                <w:lang w:val="en-US"/>
              </w:rPr>
            </w:pPr>
            <w:r w:rsidRPr="00CD420E">
              <w:rPr>
                <w:b/>
                <w:color w:val="000000"/>
                <w:sz w:val="22"/>
                <w:szCs w:val="32"/>
                <w:lang w:val="en-US"/>
              </w:rPr>
              <w:t>Consultation</w:t>
            </w:r>
          </w:p>
          <w:p w:rsidR="00CD420E" w:rsidRDefault="00CD420E">
            <w:pPr>
              <w:pStyle w:val="Header"/>
              <w:tabs>
                <w:tab w:val="left" w:pos="851"/>
              </w:tabs>
              <w:spacing w:line="264" w:lineRule="auto"/>
              <w:rPr>
                <w:color w:val="000000"/>
                <w:sz w:val="22"/>
                <w:szCs w:val="32"/>
                <w:lang w:val="en-US"/>
              </w:rPr>
            </w:pPr>
          </w:p>
          <w:p w:rsidR="00D9222C" w:rsidRDefault="00CD420E" w:rsidP="00CD420E">
            <w:pPr>
              <w:pStyle w:val="Header"/>
              <w:numPr>
                <w:ilvl w:val="0"/>
                <w:numId w:val="22"/>
              </w:numPr>
              <w:tabs>
                <w:tab w:val="left" w:pos="851"/>
              </w:tabs>
              <w:spacing w:line="264" w:lineRule="auto"/>
              <w:rPr>
                <w:color w:val="000000"/>
                <w:sz w:val="22"/>
                <w:szCs w:val="32"/>
                <w:lang w:val="en-US"/>
              </w:rPr>
            </w:pPr>
            <w:r>
              <w:rPr>
                <w:color w:val="000000"/>
                <w:sz w:val="22"/>
                <w:szCs w:val="32"/>
                <w:lang w:val="en-US"/>
              </w:rPr>
              <w:t xml:space="preserve">Georgina gave a note outlining guidance on consultation. It includes the consultation bodies that must be consulted and methods of consultation. </w:t>
            </w:r>
          </w:p>
          <w:p w:rsidR="00CD420E" w:rsidRDefault="00DE3379" w:rsidP="00CD420E">
            <w:pPr>
              <w:pStyle w:val="Header"/>
              <w:numPr>
                <w:ilvl w:val="0"/>
                <w:numId w:val="22"/>
              </w:numPr>
              <w:tabs>
                <w:tab w:val="left" w:pos="851"/>
              </w:tabs>
              <w:spacing w:line="264" w:lineRule="auto"/>
              <w:rPr>
                <w:color w:val="000000"/>
                <w:sz w:val="22"/>
                <w:szCs w:val="32"/>
                <w:lang w:val="en-US"/>
              </w:rPr>
            </w:pPr>
            <w:r>
              <w:rPr>
                <w:color w:val="000000"/>
                <w:sz w:val="22"/>
                <w:szCs w:val="32"/>
                <w:lang w:val="en-US"/>
              </w:rPr>
              <w:t>Adele from the Peak District provided input</w:t>
            </w:r>
            <w:r w:rsidR="00E66FDD">
              <w:rPr>
                <w:color w:val="000000"/>
                <w:sz w:val="22"/>
                <w:szCs w:val="32"/>
                <w:lang w:val="en-US"/>
              </w:rPr>
              <w:t xml:space="preserve"> into the note and added that during the plan preparation stage the Parish Council are best suited to know what will work best for them in terms of effective community engagement</w:t>
            </w:r>
            <w:r>
              <w:rPr>
                <w:color w:val="000000"/>
                <w:sz w:val="22"/>
                <w:szCs w:val="32"/>
                <w:lang w:val="en-US"/>
              </w:rPr>
              <w:t>; and</w:t>
            </w:r>
          </w:p>
          <w:p w:rsidR="00E66FDD" w:rsidRPr="00DE3379" w:rsidRDefault="00E66FDD" w:rsidP="00E66FDD">
            <w:pPr>
              <w:pStyle w:val="Header"/>
              <w:numPr>
                <w:ilvl w:val="0"/>
                <w:numId w:val="22"/>
              </w:numPr>
              <w:tabs>
                <w:tab w:val="left" w:pos="851"/>
              </w:tabs>
              <w:spacing w:line="264" w:lineRule="auto"/>
              <w:rPr>
                <w:color w:val="000000"/>
                <w:sz w:val="22"/>
                <w:szCs w:val="32"/>
                <w:lang w:val="en-US"/>
              </w:rPr>
            </w:pPr>
            <w:r>
              <w:rPr>
                <w:color w:val="000000"/>
                <w:sz w:val="22"/>
                <w:szCs w:val="32"/>
                <w:lang w:val="en-US"/>
              </w:rPr>
              <w:t xml:space="preserve">It is important that any consultation – who was invited/ who came/ who said what/ how the Parish Council responded is noted so that when </w:t>
            </w:r>
            <w:r w:rsidR="00DE3379">
              <w:rPr>
                <w:color w:val="000000"/>
                <w:sz w:val="22"/>
                <w:szCs w:val="32"/>
                <w:lang w:val="en-US"/>
              </w:rPr>
              <w:t xml:space="preserve">the </w:t>
            </w:r>
            <w:r>
              <w:rPr>
                <w:color w:val="000000"/>
                <w:sz w:val="22"/>
                <w:szCs w:val="32"/>
                <w:lang w:val="en-US"/>
              </w:rPr>
              <w:t xml:space="preserve">Consultation Statement </w:t>
            </w:r>
            <w:r w:rsidR="00DE3379">
              <w:rPr>
                <w:color w:val="000000"/>
                <w:sz w:val="22"/>
                <w:szCs w:val="32"/>
                <w:lang w:val="en-US"/>
              </w:rPr>
              <w:t>is prepared</w:t>
            </w:r>
            <w:r>
              <w:rPr>
                <w:color w:val="000000"/>
                <w:sz w:val="22"/>
                <w:szCs w:val="32"/>
                <w:lang w:val="en-US"/>
              </w:rPr>
              <w:t xml:space="preserve"> the information is recorded well</w:t>
            </w:r>
            <w:r w:rsidR="00DE3379">
              <w:rPr>
                <w:color w:val="000000"/>
                <w:sz w:val="22"/>
                <w:szCs w:val="32"/>
                <w:lang w:val="en-US"/>
              </w:rPr>
              <w:t xml:space="preserve"> and readily available.</w:t>
            </w:r>
          </w:p>
          <w:p w:rsidR="00DE3379" w:rsidRDefault="00DE3379" w:rsidP="00E66FDD">
            <w:pPr>
              <w:pStyle w:val="Header"/>
              <w:tabs>
                <w:tab w:val="left" w:pos="851"/>
              </w:tabs>
              <w:spacing w:line="264" w:lineRule="auto"/>
              <w:rPr>
                <w:b/>
                <w:color w:val="000000"/>
                <w:sz w:val="22"/>
                <w:szCs w:val="32"/>
                <w:lang w:val="en-US"/>
              </w:rPr>
            </w:pPr>
          </w:p>
          <w:p w:rsidR="00E66FDD" w:rsidRPr="00E66FDD" w:rsidRDefault="00E66FDD" w:rsidP="00E66FDD">
            <w:pPr>
              <w:pStyle w:val="Header"/>
              <w:tabs>
                <w:tab w:val="left" w:pos="851"/>
              </w:tabs>
              <w:spacing w:line="264" w:lineRule="auto"/>
              <w:rPr>
                <w:b/>
                <w:color w:val="000000"/>
                <w:sz w:val="22"/>
                <w:szCs w:val="32"/>
                <w:lang w:val="en-US"/>
              </w:rPr>
            </w:pPr>
            <w:r w:rsidRPr="00E66FDD">
              <w:rPr>
                <w:b/>
                <w:color w:val="000000"/>
                <w:sz w:val="22"/>
                <w:szCs w:val="32"/>
                <w:lang w:val="en-US"/>
              </w:rPr>
              <w:t>Training</w:t>
            </w:r>
          </w:p>
          <w:p w:rsidR="00E66FDD" w:rsidRDefault="00E66FDD" w:rsidP="00E66FDD">
            <w:pPr>
              <w:pStyle w:val="Header"/>
              <w:numPr>
                <w:ilvl w:val="0"/>
                <w:numId w:val="23"/>
              </w:numPr>
              <w:tabs>
                <w:tab w:val="left" w:pos="851"/>
              </w:tabs>
              <w:spacing w:line="264" w:lineRule="auto"/>
              <w:rPr>
                <w:color w:val="000000"/>
                <w:sz w:val="22"/>
                <w:szCs w:val="32"/>
                <w:lang w:val="en-US"/>
              </w:rPr>
            </w:pPr>
            <w:r>
              <w:rPr>
                <w:color w:val="000000"/>
                <w:sz w:val="22"/>
                <w:szCs w:val="32"/>
                <w:lang w:val="en-US"/>
              </w:rPr>
              <w:t xml:space="preserve">As agreed at the last meeting </w:t>
            </w:r>
            <w:r w:rsidR="00DE3379">
              <w:rPr>
                <w:color w:val="000000"/>
                <w:sz w:val="22"/>
                <w:szCs w:val="32"/>
                <w:lang w:val="en-US"/>
              </w:rPr>
              <w:t>Georgina</w:t>
            </w:r>
            <w:r>
              <w:rPr>
                <w:color w:val="000000"/>
                <w:sz w:val="22"/>
                <w:szCs w:val="32"/>
                <w:lang w:val="en-US"/>
              </w:rPr>
              <w:t xml:space="preserve"> looked into training and a note of options was provided. </w:t>
            </w:r>
          </w:p>
        </w:tc>
      </w:tr>
      <w:tr w:rsidR="00D9222C" w:rsidTr="001D0AB0">
        <w:trPr>
          <w:cantSplit/>
          <w:trHeight w:val="1112"/>
        </w:trPr>
        <w:tc>
          <w:tcPr>
            <w:tcW w:w="676" w:type="dxa"/>
          </w:tcPr>
          <w:p w:rsidR="00D9222C" w:rsidRPr="001B7830" w:rsidRDefault="00D9222C">
            <w:pPr>
              <w:pStyle w:val="Header"/>
              <w:tabs>
                <w:tab w:val="left" w:pos="851"/>
              </w:tabs>
              <w:spacing w:line="264" w:lineRule="auto"/>
              <w:rPr>
                <w:b/>
                <w:color w:val="000000"/>
                <w:sz w:val="22"/>
                <w:szCs w:val="32"/>
                <w:lang w:val="en-US"/>
              </w:rPr>
            </w:pPr>
          </w:p>
        </w:tc>
        <w:tc>
          <w:tcPr>
            <w:tcW w:w="8949" w:type="dxa"/>
          </w:tcPr>
          <w:p w:rsidR="00693D09" w:rsidRPr="001B7830" w:rsidRDefault="00693D09" w:rsidP="008877D6">
            <w:pPr>
              <w:pStyle w:val="Header"/>
              <w:tabs>
                <w:tab w:val="left" w:pos="851"/>
              </w:tabs>
              <w:spacing w:line="264" w:lineRule="auto"/>
              <w:rPr>
                <w:b/>
                <w:color w:val="000000"/>
                <w:sz w:val="22"/>
                <w:szCs w:val="32"/>
                <w:lang w:val="en-US"/>
              </w:rPr>
            </w:pPr>
          </w:p>
        </w:tc>
      </w:tr>
    </w:tbl>
    <w:p w:rsidR="003E7F84" w:rsidRDefault="003E7F84">
      <w:pPr>
        <w:rPr>
          <w:b/>
          <w:color w:val="000000"/>
        </w:rPr>
      </w:pPr>
    </w:p>
    <w:p w:rsidR="001B7830" w:rsidRPr="007D19CA" w:rsidRDefault="00E270CF" w:rsidP="007D19CA">
      <w:pPr>
        <w:rPr>
          <w:color w:val="000000"/>
        </w:rPr>
      </w:pPr>
      <w:r w:rsidRPr="007D19CA">
        <w:rPr>
          <w:color w:val="000000"/>
        </w:rPr>
        <w:t xml:space="preserve"> </w:t>
      </w:r>
    </w:p>
    <w:sectPr w:rsidR="001B7830" w:rsidRPr="007D19CA">
      <w:headerReference w:type="default" r:id="rId8"/>
      <w:headerReference w:type="first" r:id="rId9"/>
      <w:type w:val="continuous"/>
      <w:pgSz w:w="11906" w:h="16838" w:code="9"/>
      <w:pgMar w:top="2977" w:right="1021" w:bottom="567" w:left="1276"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1D6" w:rsidRDefault="005051D6">
      <w:r>
        <w:separator/>
      </w:r>
    </w:p>
  </w:endnote>
  <w:endnote w:type="continuationSeparator" w:id="0">
    <w:p w:rsidR="005051D6" w:rsidRDefault="0050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Franklin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1D6" w:rsidRDefault="005051D6">
      <w:r>
        <w:separator/>
      </w:r>
    </w:p>
  </w:footnote>
  <w:footnote w:type="continuationSeparator" w:id="0">
    <w:p w:rsidR="005051D6" w:rsidRDefault="005051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margin" w:tblpY="511"/>
      <w:tblW w:w="0" w:type="auto"/>
      <w:tblLook w:val="0000" w:firstRow="0" w:lastRow="0" w:firstColumn="0" w:lastColumn="0" w:noHBand="0" w:noVBand="0"/>
    </w:tblPr>
    <w:tblGrid>
      <w:gridCol w:w="4071"/>
    </w:tblGrid>
    <w:tr w:rsidR="00D9222C">
      <w:trPr>
        <w:trHeight w:val="284"/>
      </w:trPr>
      <w:tc>
        <w:tcPr>
          <w:tcW w:w="4071" w:type="dxa"/>
        </w:tcPr>
        <w:p w:rsidR="00D9222C" w:rsidRDefault="00841E20" w:rsidP="00841E20">
          <w:pPr>
            <w:pStyle w:val="Header"/>
            <w:tabs>
              <w:tab w:val="left" w:pos="720"/>
            </w:tabs>
            <w:spacing w:line="264" w:lineRule="auto"/>
            <w:rPr>
              <w:color w:val="000000"/>
              <w:sz w:val="22"/>
            </w:rPr>
          </w:pPr>
          <w:r>
            <w:rPr>
              <w:color w:val="000000"/>
              <w:sz w:val="22"/>
            </w:rPr>
            <w:t>Cooperatives and Neighbourhoods</w:t>
          </w:r>
        </w:p>
      </w:tc>
    </w:tr>
  </w:tbl>
  <w:p w:rsidR="00D9222C" w:rsidRDefault="005051D6">
    <w:pPr>
      <w:pStyle w:val="Header"/>
      <w:tabs>
        <w:tab w:val="clear" w:pos="4153"/>
        <w:tab w:val="clear" w:pos="8306"/>
      </w:tabs>
      <w:ind w:right="-460"/>
      <w:jc w:val="right"/>
    </w:pPr>
    <w:r>
      <w:rPr>
        <w:noProof/>
        <w:lang w:eastAsia="en-GB"/>
      </w:rPr>
      <w:drawing>
        <wp:anchor distT="0" distB="0" distL="114300" distR="114300" simplePos="0" relativeHeight="251657728" behindDoc="0" locked="0" layoutInCell="1" allowOverlap="1">
          <wp:simplePos x="0" y="0"/>
          <wp:positionH relativeFrom="column">
            <wp:align>right</wp:align>
          </wp:positionH>
          <wp:positionV relativeFrom="paragraph">
            <wp:posOffset>-50165</wp:posOffset>
          </wp:positionV>
          <wp:extent cx="1009650" cy="1151890"/>
          <wp:effectExtent l="0" t="0" r="0" b="0"/>
          <wp:wrapNone/>
          <wp:docPr id="11" name="Picture 11" descr="OldhamCouncil_greyscale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ldhamCouncil_greyscale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22C" w:rsidRDefault="00D9222C">
    <w:pPr>
      <w:pStyle w:val="Header"/>
      <w:tabs>
        <w:tab w:val="clear" w:pos="4153"/>
        <w:tab w:val="clear" w:pos="8306"/>
      </w:tabs>
      <w:ind w:right="-460"/>
      <w:jc w:val="center"/>
    </w:pPr>
  </w:p>
  <w:p w:rsidR="00D9222C" w:rsidRDefault="00D922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22C" w:rsidRDefault="005051D6">
    <w:pPr>
      <w:pStyle w:val="Header"/>
      <w:tabs>
        <w:tab w:val="clear" w:pos="4153"/>
        <w:tab w:val="clear" w:pos="8306"/>
      </w:tabs>
      <w:ind w:right="-460"/>
      <w:jc w:val="right"/>
    </w:pPr>
    <w:r>
      <w:rPr>
        <w:noProof/>
        <w:lang w:eastAsia="en-GB"/>
      </w:rPr>
      <w:drawing>
        <wp:inline distT="0" distB="0" distL="0" distR="0">
          <wp:extent cx="1009650" cy="1151890"/>
          <wp:effectExtent l="0" t="0" r="0" b="0"/>
          <wp:docPr id="2" name="Picture 2" descr="Logo_RGB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GB_l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664E"/>
    <w:multiLevelType w:val="hybridMultilevel"/>
    <w:tmpl w:val="0A026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65780"/>
    <w:multiLevelType w:val="hybridMultilevel"/>
    <w:tmpl w:val="27B4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45A78"/>
    <w:multiLevelType w:val="hybridMultilevel"/>
    <w:tmpl w:val="08DAE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724A6E"/>
    <w:multiLevelType w:val="hybridMultilevel"/>
    <w:tmpl w:val="F46C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02F73"/>
    <w:multiLevelType w:val="hybridMultilevel"/>
    <w:tmpl w:val="05201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9825A5"/>
    <w:multiLevelType w:val="hybridMultilevel"/>
    <w:tmpl w:val="B3B840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9ED4A35"/>
    <w:multiLevelType w:val="hybridMultilevel"/>
    <w:tmpl w:val="33709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80122"/>
    <w:multiLevelType w:val="hybridMultilevel"/>
    <w:tmpl w:val="519C3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A74754"/>
    <w:multiLevelType w:val="hybridMultilevel"/>
    <w:tmpl w:val="4164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F453DF"/>
    <w:multiLevelType w:val="hybridMultilevel"/>
    <w:tmpl w:val="BB92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D4453B"/>
    <w:multiLevelType w:val="hybridMultilevel"/>
    <w:tmpl w:val="706A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C8393B"/>
    <w:multiLevelType w:val="hybridMultilevel"/>
    <w:tmpl w:val="E6D2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6F48E9"/>
    <w:multiLevelType w:val="hybridMultilevel"/>
    <w:tmpl w:val="9B96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44351"/>
    <w:multiLevelType w:val="hybridMultilevel"/>
    <w:tmpl w:val="62DA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9464C"/>
    <w:multiLevelType w:val="hybridMultilevel"/>
    <w:tmpl w:val="4738B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32789F"/>
    <w:multiLevelType w:val="hybridMultilevel"/>
    <w:tmpl w:val="5EC0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3B2827"/>
    <w:multiLevelType w:val="hybridMultilevel"/>
    <w:tmpl w:val="0F603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C0463A"/>
    <w:multiLevelType w:val="hybridMultilevel"/>
    <w:tmpl w:val="DFE875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6386CE2"/>
    <w:multiLevelType w:val="hybridMultilevel"/>
    <w:tmpl w:val="DEAC0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1636DC"/>
    <w:multiLevelType w:val="hybridMultilevel"/>
    <w:tmpl w:val="B428E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1F7DD3"/>
    <w:multiLevelType w:val="hybridMultilevel"/>
    <w:tmpl w:val="9710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502AB5"/>
    <w:multiLevelType w:val="hybridMultilevel"/>
    <w:tmpl w:val="4D8E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8430E8"/>
    <w:multiLevelType w:val="hybridMultilevel"/>
    <w:tmpl w:val="E780C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864663D"/>
    <w:multiLevelType w:val="hybridMultilevel"/>
    <w:tmpl w:val="22D49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23"/>
  </w:num>
  <w:num w:numId="4">
    <w:abstractNumId w:val="22"/>
  </w:num>
  <w:num w:numId="5">
    <w:abstractNumId w:val="7"/>
  </w:num>
  <w:num w:numId="6">
    <w:abstractNumId w:val="15"/>
  </w:num>
  <w:num w:numId="7">
    <w:abstractNumId w:val="18"/>
  </w:num>
  <w:num w:numId="8">
    <w:abstractNumId w:val="8"/>
  </w:num>
  <w:num w:numId="9">
    <w:abstractNumId w:val="5"/>
  </w:num>
  <w:num w:numId="10">
    <w:abstractNumId w:val="11"/>
  </w:num>
  <w:num w:numId="11">
    <w:abstractNumId w:val="4"/>
  </w:num>
  <w:num w:numId="12">
    <w:abstractNumId w:val="9"/>
  </w:num>
  <w:num w:numId="13">
    <w:abstractNumId w:val="16"/>
  </w:num>
  <w:num w:numId="14">
    <w:abstractNumId w:val="0"/>
  </w:num>
  <w:num w:numId="15">
    <w:abstractNumId w:val="1"/>
  </w:num>
  <w:num w:numId="16">
    <w:abstractNumId w:val="14"/>
  </w:num>
  <w:num w:numId="17">
    <w:abstractNumId w:val="21"/>
  </w:num>
  <w:num w:numId="18">
    <w:abstractNumId w:val="20"/>
  </w:num>
  <w:num w:numId="19">
    <w:abstractNumId w:val="10"/>
  </w:num>
  <w:num w:numId="20">
    <w:abstractNumId w:val="2"/>
  </w:num>
  <w:num w:numId="21">
    <w:abstractNumId w:val="3"/>
  </w:num>
  <w:num w:numId="22">
    <w:abstractNumId w:val="17"/>
  </w:num>
  <w:num w:numId="23">
    <w:abstractNumId w:val="12"/>
  </w:num>
  <w:num w:numId="2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defaultTabStop w:val="720"/>
  <w:noPunctuationKerning/>
  <w:characterSpacingControl w:val="doNotCompress"/>
  <w:hdrShapeDefaults>
    <o:shapedefaults v:ext="edit" spidmax="6145">
      <o:colormru v:ext="edit" colors="#ec009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D6"/>
    <w:rsid w:val="000046CB"/>
    <w:rsid w:val="000A5BE3"/>
    <w:rsid w:val="001B7830"/>
    <w:rsid w:val="001D0AB0"/>
    <w:rsid w:val="00232F31"/>
    <w:rsid w:val="00271DCC"/>
    <w:rsid w:val="00294D82"/>
    <w:rsid w:val="00297DC0"/>
    <w:rsid w:val="002B60B5"/>
    <w:rsid w:val="002C1E76"/>
    <w:rsid w:val="002C35DF"/>
    <w:rsid w:val="002E21E4"/>
    <w:rsid w:val="003007B2"/>
    <w:rsid w:val="00323DDB"/>
    <w:rsid w:val="003A225E"/>
    <w:rsid w:val="003E3DC4"/>
    <w:rsid w:val="003E7F84"/>
    <w:rsid w:val="0046206F"/>
    <w:rsid w:val="00496EA6"/>
    <w:rsid w:val="005051D6"/>
    <w:rsid w:val="00513A45"/>
    <w:rsid w:val="005868B0"/>
    <w:rsid w:val="005E7131"/>
    <w:rsid w:val="00652E67"/>
    <w:rsid w:val="00661AA2"/>
    <w:rsid w:val="00693D09"/>
    <w:rsid w:val="00694548"/>
    <w:rsid w:val="00697A96"/>
    <w:rsid w:val="00715EAB"/>
    <w:rsid w:val="00774BCA"/>
    <w:rsid w:val="007D19CA"/>
    <w:rsid w:val="0082229F"/>
    <w:rsid w:val="00841E20"/>
    <w:rsid w:val="00854A24"/>
    <w:rsid w:val="008640D9"/>
    <w:rsid w:val="008877D6"/>
    <w:rsid w:val="008D1B11"/>
    <w:rsid w:val="008F10B9"/>
    <w:rsid w:val="00920EBC"/>
    <w:rsid w:val="00933B71"/>
    <w:rsid w:val="00986509"/>
    <w:rsid w:val="009B1886"/>
    <w:rsid w:val="009C6769"/>
    <w:rsid w:val="00A17449"/>
    <w:rsid w:val="00A63D69"/>
    <w:rsid w:val="00A80A90"/>
    <w:rsid w:val="00A9581F"/>
    <w:rsid w:val="00AB3237"/>
    <w:rsid w:val="00AC6E28"/>
    <w:rsid w:val="00B074F6"/>
    <w:rsid w:val="00B56DC2"/>
    <w:rsid w:val="00B67239"/>
    <w:rsid w:val="00C00927"/>
    <w:rsid w:val="00C33753"/>
    <w:rsid w:val="00C36828"/>
    <w:rsid w:val="00CA5AE2"/>
    <w:rsid w:val="00CA5EC1"/>
    <w:rsid w:val="00CD1642"/>
    <w:rsid w:val="00CD420E"/>
    <w:rsid w:val="00D45FBB"/>
    <w:rsid w:val="00D469A8"/>
    <w:rsid w:val="00D528EB"/>
    <w:rsid w:val="00D878E0"/>
    <w:rsid w:val="00D9222C"/>
    <w:rsid w:val="00DA72EA"/>
    <w:rsid w:val="00DD55C5"/>
    <w:rsid w:val="00DE1A4D"/>
    <w:rsid w:val="00DE3379"/>
    <w:rsid w:val="00DF5005"/>
    <w:rsid w:val="00E270CF"/>
    <w:rsid w:val="00E66FDD"/>
    <w:rsid w:val="00EE76D5"/>
    <w:rsid w:val="00EF0826"/>
    <w:rsid w:val="00F239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c0092"/>
    </o:shapedefaults>
    <o:shapelayout v:ext="edit">
      <o:idmap v:ext="edit" data="1"/>
    </o:shapelayout>
  </w:shapeDefaults>
  <w:decimalSymbol w:val="."/>
  <w:listSeparator w:val=","/>
  <w15:docId w15:val="{CBD73CE3-2B58-451A-9B47-478FFE11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color w:val="61636B"/>
      <w:sz w:val="22"/>
      <w:szCs w:val="24"/>
      <w:lang w:eastAsia="en-US"/>
    </w:rPr>
  </w:style>
  <w:style w:type="paragraph" w:styleId="Heading1">
    <w:name w:val="heading 1"/>
    <w:basedOn w:val="Normal"/>
    <w:next w:val="Normal"/>
    <w:qFormat/>
    <w:pPr>
      <w:keepNext/>
      <w:outlineLvl w:val="0"/>
    </w:pPr>
    <w:rPr>
      <w:rFonts w:eastAsia="MS Mincho"/>
      <w:b/>
      <w:bCs/>
      <w:sz w:val="28"/>
      <w:lang w:eastAsia="ja-JP"/>
    </w:rPr>
  </w:style>
  <w:style w:type="paragraph" w:styleId="Heading2">
    <w:name w:val="heading 2"/>
    <w:basedOn w:val="Normal"/>
    <w:next w:val="Normal"/>
    <w:qFormat/>
    <w:pPr>
      <w:keepNext/>
      <w:spacing w:line="276" w:lineRule="auto"/>
      <w:outlineLvl w:val="1"/>
    </w:pPr>
    <w:rPr>
      <w:b/>
      <w:bCs/>
      <w:sz w:val="21"/>
    </w:rPr>
  </w:style>
  <w:style w:type="paragraph" w:styleId="Heading3">
    <w:name w:val="heading 3"/>
    <w:basedOn w:val="Normal"/>
    <w:next w:val="Normal"/>
    <w:qFormat/>
    <w:pPr>
      <w:keepNext/>
      <w:outlineLvl w:val="2"/>
    </w:pPr>
    <w:rPr>
      <w:rFonts w:eastAsia="MS Mincho"/>
      <w:b/>
      <w:bCs/>
      <w:i/>
      <w:iCs/>
      <w:lang w:eastAsia="ja-JP"/>
    </w:rPr>
  </w:style>
  <w:style w:type="paragraph" w:styleId="Heading4">
    <w:name w:val="heading 4"/>
    <w:basedOn w:val="Normal"/>
    <w:next w:val="Normal"/>
    <w:qFormat/>
    <w:pPr>
      <w:keepNext/>
      <w:spacing w:line="288" w:lineRule="auto"/>
      <w:outlineLvl w:val="3"/>
    </w:pPr>
    <w:rPr>
      <w:rFonts w:eastAsia="MS Mincho"/>
      <w:b/>
      <w:bCs/>
      <w:i/>
      <w:iCs/>
      <w:sz w:val="21"/>
      <w:lang w:eastAsia="ja-JP"/>
    </w:rPr>
  </w:style>
  <w:style w:type="paragraph" w:styleId="Heading5">
    <w:name w:val="heading 5"/>
    <w:basedOn w:val="Normal"/>
    <w:next w:val="Normal"/>
    <w:qFormat/>
    <w:pPr>
      <w:keepNext/>
      <w:spacing w:line="288" w:lineRule="auto"/>
      <w:outlineLvl w:val="4"/>
    </w:pPr>
    <w:rPr>
      <w:rFonts w:eastAsia="MS Mincho"/>
      <w:b/>
      <w:bCs/>
      <w:i/>
      <w:iCs/>
      <w:sz w:val="20"/>
      <w:lang w:eastAsia="ja-JP"/>
    </w:rPr>
  </w:style>
  <w:style w:type="paragraph" w:styleId="Heading6">
    <w:name w:val="heading 6"/>
    <w:basedOn w:val="Normal"/>
    <w:next w:val="Normal"/>
    <w:qFormat/>
    <w:pPr>
      <w:keepNext/>
      <w:spacing w:after="60" w:line="300" w:lineRule="auto"/>
      <w:jc w:val="right"/>
      <w:outlineLvl w:val="5"/>
    </w:pPr>
    <w:rPr>
      <w:rFonts w:ascii="FranklinGothic" w:hAnsi="FranklinGothic"/>
      <w:b/>
      <w:bCs/>
      <w:sz w:val="32"/>
    </w:rPr>
  </w:style>
  <w:style w:type="paragraph" w:styleId="Heading7">
    <w:name w:val="heading 7"/>
    <w:basedOn w:val="Normal"/>
    <w:next w:val="Normal"/>
    <w:qFormat/>
    <w:pPr>
      <w:keepNext/>
      <w:spacing w:line="288" w:lineRule="auto"/>
      <w:ind w:left="720"/>
      <w:outlineLvl w:val="6"/>
    </w:pPr>
    <w:rPr>
      <w:i/>
      <w:iCs/>
      <w:sz w:val="21"/>
    </w:rPr>
  </w:style>
  <w:style w:type="paragraph" w:styleId="Heading8">
    <w:name w:val="heading 8"/>
    <w:basedOn w:val="Normal"/>
    <w:next w:val="Normal"/>
    <w:qFormat/>
    <w:pPr>
      <w:keepNext/>
      <w:spacing w:line="288" w:lineRule="auto"/>
      <w:ind w:left="720"/>
      <w:outlineLvl w:val="7"/>
    </w:pPr>
    <w:rPr>
      <w:b/>
      <w:bCs/>
    </w:rPr>
  </w:style>
  <w:style w:type="paragraph" w:styleId="Heading9">
    <w:name w:val="heading 9"/>
    <w:basedOn w:val="Normal"/>
    <w:next w:val="Normal"/>
    <w:qFormat/>
    <w:pPr>
      <w:keepNext/>
      <w:spacing w:line="288" w:lineRule="auto"/>
      <w:ind w:left="720"/>
      <w:outlineLvl w:val="8"/>
    </w:pPr>
    <w:rPr>
      <w:b/>
      <w:bCs/>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276" w:lineRule="auto"/>
    </w:pPr>
    <w:rPr>
      <w:rFonts w:eastAsia="MS Mincho"/>
      <w:sz w:val="21"/>
      <w:lang w:eastAsia="ja-JP"/>
    </w:rPr>
  </w:style>
  <w:style w:type="paragraph" w:styleId="BodyTextIndent">
    <w:name w:val="Body Text Indent"/>
    <w:basedOn w:val="Normal"/>
    <w:semiHidden/>
    <w:pPr>
      <w:spacing w:line="276" w:lineRule="auto"/>
      <w:ind w:left="680"/>
    </w:pPr>
    <w:rPr>
      <w:sz w:val="21"/>
    </w:rPr>
  </w:style>
  <w:style w:type="paragraph" w:styleId="BodyTextIndent2">
    <w:name w:val="Body Text Indent 2"/>
    <w:basedOn w:val="Normal"/>
    <w:semiHidden/>
    <w:pPr>
      <w:spacing w:line="276" w:lineRule="auto"/>
      <w:ind w:left="1021"/>
    </w:pPr>
    <w:rPr>
      <w:sz w:val="21"/>
    </w:rPr>
  </w:style>
  <w:style w:type="paragraph" w:styleId="BodyTextIndent3">
    <w:name w:val="Body Text Indent 3"/>
    <w:basedOn w:val="Normal"/>
    <w:semiHidden/>
    <w:pPr>
      <w:spacing w:line="288" w:lineRule="auto"/>
      <w:ind w:left="720"/>
    </w:pPr>
    <w:rPr>
      <w:b/>
      <w:bCs/>
      <w:i/>
      <w:iCs/>
      <w:sz w:val="21"/>
    </w:rPr>
  </w:style>
  <w:style w:type="paragraph" w:styleId="Header">
    <w:name w:val="header"/>
    <w:basedOn w:val="Normal"/>
    <w:semiHidden/>
    <w:pPr>
      <w:tabs>
        <w:tab w:val="center" w:pos="4153"/>
        <w:tab w:val="right" w:pos="8306"/>
      </w:tabs>
    </w:pPr>
    <w:rPr>
      <w:sz w:val="2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120" w:after="120" w:line="288" w:lineRule="auto"/>
    </w:pPr>
  </w:style>
  <w:style w:type="paragraph" w:customStyle="1" w:styleId="Default">
    <w:name w:val="Default"/>
    <w:pPr>
      <w:autoSpaceDE w:val="0"/>
      <w:autoSpaceDN w:val="0"/>
      <w:adjustRightInd w:val="0"/>
    </w:pPr>
    <w:rPr>
      <w:rFonts w:ascii="Verdana" w:hAnsi="Verdana"/>
      <w:color w:val="000000"/>
      <w:sz w:val="24"/>
      <w:szCs w:val="24"/>
      <w:lang w:val="en-US" w:eastAsia="en-US"/>
    </w:rPr>
  </w:style>
  <w:style w:type="paragraph" w:customStyle="1" w:styleId="Pa8">
    <w:name w:val="Pa8"/>
    <w:basedOn w:val="Default"/>
    <w:next w:val="Default"/>
    <w:pPr>
      <w:spacing w:line="241" w:lineRule="atLeast"/>
    </w:pPr>
    <w:rPr>
      <w:color w:val="auto"/>
      <w:sz w:val="20"/>
    </w:rPr>
  </w:style>
  <w:style w:type="character" w:customStyle="1" w:styleId="A1">
    <w:name w:val="A1"/>
    <w:rPr>
      <w:color w:val="000000"/>
      <w:szCs w:val="20"/>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33"/>
      <w:sz w:val="24"/>
    </w:rPr>
  </w:style>
  <w:style w:type="paragraph" w:styleId="BalloonText">
    <w:name w:val="Balloon Text"/>
    <w:basedOn w:val="Normal"/>
    <w:link w:val="BalloonTextChar"/>
    <w:uiPriority w:val="99"/>
    <w:semiHidden/>
    <w:unhideWhenUsed/>
    <w:rsid w:val="005051D6"/>
    <w:rPr>
      <w:rFonts w:ascii="Tahoma" w:hAnsi="Tahoma" w:cs="Tahoma"/>
      <w:sz w:val="16"/>
      <w:szCs w:val="16"/>
    </w:rPr>
  </w:style>
  <w:style w:type="character" w:customStyle="1" w:styleId="BalloonTextChar">
    <w:name w:val="Balloon Text Char"/>
    <w:basedOn w:val="DefaultParagraphFont"/>
    <w:link w:val="BalloonText"/>
    <w:uiPriority w:val="99"/>
    <w:semiHidden/>
    <w:rsid w:val="005051D6"/>
    <w:rPr>
      <w:rFonts w:ascii="Tahoma" w:hAnsi="Tahoma" w:cs="Tahoma"/>
      <w:color w:val="61636B"/>
      <w:sz w:val="16"/>
      <w:szCs w:val="16"/>
      <w:lang w:eastAsia="en-US"/>
    </w:rPr>
  </w:style>
  <w:style w:type="paragraph" w:styleId="ListParagraph">
    <w:name w:val="List Paragraph"/>
    <w:basedOn w:val="Normal"/>
    <w:uiPriority w:val="34"/>
    <w:qFormat/>
    <w:rsid w:val="00822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EE3990F6-D69E-4361-A07A-BC58BD150E03}"/>
</file>

<file path=customXml/itemProps2.xml><?xml version="1.0" encoding="utf-8"?>
<ds:datastoreItem xmlns:ds="http://schemas.openxmlformats.org/officeDocument/2006/customXml" ds:itemID="{83E53DC1-0385-4EFD-B854-9CA4F3312DD5}"/>
</file>

<file path=customXml/itemProps3.xml><?xml version="1.0" encoding="utf-8"?>
<ds:datastoreItem xmlns:ds="http://schemas.openxmlformats.org/officeDocument/2006/customXml" ds:itemID="{4CCFAFEC-9059-4455-9878-CF7395F59860}"/>
</file>

<file path=docProps/app.xml><?xml version="1.0" encoding="utf-8"?>
<Properties xmlns="http://schemas.openxmlformats.org/officeDocument/2006/extended-properties" xmlns:vt="http://schemas.openxmlformats.org/officeDocument/2006/docPropsVTypes">
  <Template>Normal</Template>
  <TotalTime>1</TotalTime>
  <Pages>4</Pages>
  <Words>985</Words>
  <Characters>5618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Oldham Council</vt:lpstr>
    </vt:vector>
  </TitlesOfParts>
  <Company>Hemisphere</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Oldham Council</dc:title>
  <dc:creator>Georgina Brownridge</dc:creator>
  <cp:lastModifiedBy>Parish Council</cp:lastModifiedBy>
  <cp:revision>2</cp:revision>
  <cp:lastPrinted>2008-08-05T15:57:00Z</cp:lastPrinted>
  <dcterms:created xsi:type="dcterms:W3CDTF">2016-12-02T16:17:00Z</dcterms:created>
  <dcterms:modified xsi:type="dcterms:W3CDTF">2016-12-02T16:17:00Z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